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 xml:space="preserve"> 陕油教</w:t>
      </w:r>
      <w:r>
        <w:rPr>
          <w:rFonts w:hint="eastAsia" w:ascii="仿宋" w:hAnsi="仿宋" w:eastAsia="仿宋" w:cs="仿宋"/>
          <w:sz w:val="32"/>
          <w:szCs w:val="32"/>
          <w:lang w:val="en-US" w:eastAsia="zh-CN"/>
        </w:rPr>
        <w:t>字</w:t>
      </w:r>
      <w:r>
        <w:rPr>
          <w:rFonts w:hint="eastAsia" w:ascii="仿宋" w:hAnsi="仿宋" w:eastAsia="仿宋" w:cs="仿宋"/>
          <w:sz w:val="32"/>
          <w:szCs w:val="32"/>
        </w:rPr>
        <w:t>〔</w:t>
      </w:r>
      <w:r>
        <w:rPr>
          <w:rFonts w:hint="eastAsia" w:ascii="仿宋" w:hAnsi="仿宋" w:eastAsia="仿宋" w:cs="仿宋"/>
          <w:sz w:val="32"/>
          <w:szCs w:val="32"/>
          <w:lang w:val="en-US" w:eastAsia="zh-CN"/>
        </w:rPr>
        <w:t>2024</w:t>
      </w:r>
      <w:r>
        <w:rPr>
          <w:rFonts w:hint="eastAsia" w:ascii="仿宋" w:hAnsi="仿宋" w:eastAsia="仿宋" w:cs="仿宋"/>
          <w:sz w:val="32"/>
          <w:szCs w:val="32"/>
        </w:rPr>
        <w:t>〕</w:t>
      </w:r>
      <w:r>
        <w:rPr>
          <w:rFonts w:hint="eastAsia" w:ascii="仿宋" w:hAnsi="仿宋" w:eastAsia="仿宋" w:cs="仿宋"/>
          <w:sz w:val="32"/>
          <w:szCs w:val="32"/>
          <w:lang w:val="en-US" w:eastAsia="zh-CN"/>
        </w:rPr>
        <w:t>20</w:t>
      </w:r>
      <w:r>
        <w:rPr>
          <w:rFonts w:hint="eastAsia" w:ascii="仿宋" w:hAnsi="仿宋" w:eastAsia="仿宋" w:cs="仿宋"/>
          <w:sz w:val="32"/>
          <w:szCs w:val="32"/>
        </w:rPr>
        <w:t>号</w:t>
      </w:r>
    </w:p>
    <w:p>
      <w:pPr>
        <w:keepNext w:val="0"/>
        <w:keepLines w:val="0"/>
        <w:pageBreakBefore w:val="0"/>
        <w:widowControl w:val="0"/>
        <w:kinsoku/>
        <w:wordWrap/>
        <w:overflowPunct/>
        <w:topLinePunct w:val="0"/>
        <w:autoSpaceDE/>
        <w:autoSpaceDN/>
        <w:bidi w:val="0"/>
        <w:adjustRightInd/>
        <w:snapToGrid/>
        <w:spacing w:line="660" w:lineRule="exact"/>
        <w:jc w:val="both"/>
        <w:textAlignment w:val="auto"/>
        <w:rPr>
          <w:rFonts w:hint="eastAsia" w:ascii="方正小标宋简体" w:hAnsi="方正小标宋简体" w:eastAsia="方正小标宋简体" w:cs="方正小标宋简体"/>
          <w:sz w:val="32"/>
          <w:szCs w:val="32"/>
        </w:rPr>
      </w:pPr>
    </w:p>
    <w:p>
      <w:pPr>
        <w:keepNext w:val="0"/>
        <w:keepLines w:val="0"/>
        <w:pageBreakBefore w:val="0"/>
        <w:widowControl w:val="0"/>
        <w:kinsoku/>
        <w:wordWrap/>
        <w:overflowPunct/>
        <w:topLinePunct w:val="0"/>
        <w:autoSpaceDE/>
        <w:autoSpaceDN/>
        <w:bidi w:val="0"/>
        <w:adjustRightInd/>
        <w:snapToGrid/>
        <w:spacing w:line="660" w:lineRule="exact"/>
        <w:ind w:firstLine="880" w:firstLineChars="200"/>
        <w:jc w:val="both"/>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石油普教中心关于开展为教师减负</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专项整治工作的通知</w:t>
      </w:r>
    </w:p>
    <w:p>
      <w:pPr>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 w:hAnsi="仿宋" w:eastAsia="仿宋"/>
          <w:sz w:val="32"/>
          <w:szCs w:val="32"/>
        </w:rPr>
      </w:pPr>
      <w:r>
        <w:rPr>
          <w:rFonts w:hint="eastAsia" w:ascii="仿宋" w:hAnsi="仿宋" w:eastAsia="仿宋"/>
          <w:sz w:val="32"/>
          <w:szCs w:val="32"/>
        </w:rPr>
        <w:t>各中小学，机关各部门，泾河离退休管理站：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为落实《陕西省中小学教师减负清单》（见附件1）和中共陕西省委教育工作领导秘书组《关于开展为中小学教师减负专项整治工作的通知》（陕教组秘[</w:t>
      </w:r>
      <w:r>
        <w:rPr>
          <w:rFonts w:ascii="仿宋" w:hAnsi="仿宋" w:eastAsia="仿宋"/>
          <w:sz w:val="32"/>
          <w:szCs w:val="32"/>
        </w:rPr>
        <w:t>2024]4</w:t>
      </w:r>
      <w:r>
        <w:rPr>
          <w:rFonts w:hint="eastAsia" w:ascii="仿宋" w:hAnsi="仿宋" w:eastAsia="仿宋"/>
          <w:sz w:val="32"/>
          <w:szCs w:val="32"/>
        </w:rPr>
        <w:t>号）要求，切实减轻学校教师负担，坚决遏制形式主义向学校转移，石油普教中心面向所属学校，组织开展教师减负专项整治工作。现将有关事项通知如下：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一、成立石油普教中心教师减负专项整治工作领导小组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 xml:space="preserve">组 </w:t>
      </w:r>
      <w:r>
        <w:rPr>
          <w:rFonts w:ascii="仿宋" w:hAnsi="仿宋" w:eastAsia="仿宋"/>
          <w:sz w:val="32"/>
          <w:szCs w:val="32"/>
        </w:rPr>
        <w:t xml:space="preserve"> </w:t>
      </w:r>
      <w:r>
        <w:rPr>
          <w:rFonts w:hint="eastAsia" w:ascii="仿宋" w:hAnsi="仿宋" w:eastAsia="仿宋"/>
          <w:sz w:val="32"/>
          <w:szCs w:val="32"/>
        </w:rPr>
        <w:t>长：王玉春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副组长：朱克强、胡斗玲、陈昭亮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sectPr>
          <w:footerReference r:id="rId3" w:type="default"/>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成</w:t>
      </w:r>
      <w:r>
        <w:rPr>
          <w:rFonts w:ascii="仿宋" w:hAnsi="仿宋" w:eastAsia="仿宋"/>
          <w:sz w:val="32"/>
          <w:szCs w:val="32"/>
        </w:rPr>
        <w:t xml:space="preserve"> </w:t>
      </w:r>
      <w:r>
        <w:rPr>
          <w:rFonts w:hint="eastAsia" w:ascii="仿宋" w:hAnsi="仿宋" w:eastAsia="仿宋"/>
          <w:sz w:val="32"/>
          <w:szCs w:val="32"/>
        </w:rPr>
        <w:t>员：中心所属各学校校长，中心机关行政事务部、人事组织部、教育管理部、党委办公室、安全稳定办等5个部室负责人。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 xml:space="preserve">职 </w:t>
      </w:r>
      <w:r>
        <w:rPr>
          <w:rFonts w:ascii="仿宋" w:hAnsi="仿宋" w:eastAsia="仿宋"/>
          <w:sz w:val="32"/>
          <w:szCs w:val="32"/>
        </w:rPr>
        <w:t xml:space="preserve"> </w:t>
      </w:r>
      <w:r>
        <w:rPr>
          <w:rFonts w:hint="eastAsia" w:ascii="仿宋" w:hAnsi="仿宋" w:eastAsia="仿宋"/>
          <w:sz w:val="32"/>
          <w:szCs w:val="32"/>
        </w:rPr>
        <w:t>责：贯彻落实国家和省上关于为中小学教师减负的各项部署，研究制订中心关于为教师减负工作的制度和措施，组织开展为教师减负重点工作的督查、落实等工作。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领导小组办公室设在中心行政事务部，负责牵头落实领导小组工作部署，汇总机关各部门和学校排查整治工作情况，上报教师减负工作进展情况。完成领导小组交办的有关教师减负具体工作任务，设置石油普教中心为教师减负专项整治工作举报电话：0</w:t>
      </w:r>
      <w:r>
        <w:rPr>
          <w:rFonts w:ascii="仿宋" w:hAnsi="仿宋" w:eastAsia="仿宋"/>
          <w:sz w:val="32"/>
          <w:szCs w:val="32"/>
        </w:rPr>
        <w:t>29</w:t>
      </w:r>
      <w:r>
        <w:rPr>
          <w:rFonts w:hint="eastAsia" w:ascii="仿宋" w:hAnsi="仿宋" w:eastAsia="仿宋"/>
          <w:sz w:val="32"/>
          <w:szCs w:val="32"/>
        </w:rPr>
        <w:t>-</w:t>
      </w:r>
      <w:r>
        <w:rPr>
          <w:rFonts w:ascii="仿宋" w:hAnsi="仿宋" w:eastAsia="仿宋"/>
          <w:sz w:val="32"/>
          <w:szCs w:val="32"/>
        </w:rPr>
        <w:t>86978177</w:t>
      </w:r>
      <w:r>
        <w:rPr>
          <w:rFonts w:hint="eastAsia" w:ascii="仿宋" w:hAnsi="仿宋" w:eastAsia="仿宋"/>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二、专项整治重点问题的范围和内容</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 w:hAnsi="仿宋" w:eastAsia="仿宋"/>
          <w:sz w:val="32"/>
          <w:szCs w:val="32"/>
        </w:rPr>
      </w:pPr>
      <w:r>
        <w:rPr>
          <w:rFonts w:hint="eastAsia" w:ascii="楷体" w:hAnsi="楷体" w:eastAsia="楷体"/>
          <w:b/>
          <w:sz w:val="32"/>
          <w:szCs w:val="32"/>
        </w:rPr>
        <w:t>（一）中心机关带头执行</w:t>
      </w:r>
      <w:bookmarkStart w:id="0" w:name="_Hlk165360433"/>
      <w:r>
        <w:rPr>
          <w:rFonts w:hint="eastAsia" w:ascii="楷体" w:hAnsi="楷体" w:eastAsia="楷体"/>
          <w:b/>
          <w:sz w:val="32"/>
          <w:szCs w:val="32"/>
        </w:rPr>
        <w:t>《陕西省中小学教师减负清单》</w:t>
      </w:r>
      <w:bookmarkEnd w:id="0"/>
      <w:r>
        <w:rPr>
          <w:rFonts w:hint="eastAsia" w:ascii="楷体" w:hAnsi="楷体" w:eastAsia="楷体"/>
          <w:b/>
          <w:sz w:val="32"/>
          <w:szCs w:val="32"/>
        </w:rPr>
        <w:t>和陕教组秘[</w:t>
      </w:r>
      <w:r>
        <w:rPr>
          <w:rFonts w:ascii="楷体" w:hAnsi="楷体" w:eastAsia="楷体"/>
          <w:b/>
          <w:sz w:val="32"/>
          <w:szCs w:val="32"/>
        </w:rPr>
        <w:t>2024]4号</w:t>
      </w:r>
      <w:r>
        <w:rPr>
          <w:rFonts w:hint="eastAsia" w:ascii="楷体" w:hAnsi="楷体" w:eastAsia="楷体"/>
          <w:b/>
          <w:sz w:val="32"/>
          <w:szCs w:val="32"/>
        </w:rPr>
        <w:t>文件明确的专项整治重点工作要求。</w:t>
      </w:r>
      <w:r>
        <w:rPr>
          <w:rFonts w:hint="eastAsia" w:ascii="仿宋" w:hAnsi="仿宋" w:eastAsia="仿宋"/>
          <w:sz w:val="32"/>
          <w:szCs w:val="32"/>
        </w:rPr>
        <w:t>自2</w:t>
      </w:r>
      <w:r>
        <w:rPr>
          <w:rFonts w:ascii="仿宋" w:hAnsi="仿宋" w:eastAsia="仿宋"/>
          <w:sz w:val="32"/>
          <w:szCs w:val="32"/>
        </w:rPr>
        <w:t>024</w:t>
      </w:r>
      <w:r>
        <w:rPr>
          <w:rFonts w:hint="eastAsia" w:ascii="仿宋" w:hAnsi="仿宋" w:eastAsia="仿宋"/>
          <w:sz w:val="32"/>
          <w:szCs w:val="32"/>
        </w:rPr>
        <w:t>年春季学期起，机关各部门进一步加强工作统筹，凡是面向学校开展的督查检查、评比考核、创先争优、宣传教育、报表资料、数据采集、教师培训、人员抽调等任务安排，均应是经中心统一安排部署的工作，或是报请中心领导书面签批同意后开展的工作。</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 w:hAnsi="仿宋" w:eastAsia="仿宋"/>
          <w:sz w:val="32"/>
          <w:szCs w:val="32"/>
        </w:rPr>
      </w:pPr>
      <w:r>
        <w:rPr>
          <w:rFonts w:hint="eastAsia" w:ascii="楷体" w:hAnsi="楷体" w:eastAsia="楷体"/>
          <w:b/>
          <w:sz w:val="32"/>
          <w:szCs w:val="32"/>
        </w:rPr>
        <w:t>（二）各学校认真落实《陕西省中小学教师减负清单》和陕教组秘[</w:t>
      </w:r>
      <w:r>
        <w:rPr>
          <w:rFonts w:ascii="楷体" w:hAnsi="楷体" w:eastAsia="楷体"/>
          <w:b/>
          <w:sz w:val="32"/>
          <w:szCs w:val="32"/>
        </w:rPr>
        <w:t>2024]4号文件</w:t>
      </w:r>
      <w:r>
        <w:rPr>
          <w:rFonts w:hint="eastAsia" w:ascii="楷体" w:hAnsi="楷体" w:eastAsia="楷体"/>
          <w:b/>
          <w:sz w:val="32"/>
          <w:szCs w:val="32"/>
        </w:rPr>
        <w:t>要求。</w:t>
      </w:r>
      <w:r>
        <w:rPr>
          <w:rFonts w:hint="eastAsia" w:ascii="仿宋" w:hAnsi="仿宋" w:eastAsia="仿宋"/>
          <w:sz w:val="32"/>
          <w:szCs w:val="32"/>
        </w:rPr>
        <w:t>各学校围绕2</w:t>
      </w:r>
      <w:r>
        <w:rPr>
          <w:rFonts w:ascii="仿宋" w:hAnsi="仿宋" w:eastAsia="仿宋"/>
          <w:sz w:val="32"/>
          <w:szCs w:val="32"/>
        </w:rPr>
        <w:t>024</w:t>
      </w:r>
      <w:r>
        <w:rPr>
          <w:rFonts w:hint="eastAsia" w:ascii="仿宋" w:hAnsi="仿宋" w:eastAsia="仿宋"/>
          <w:sz w:val="32"/>
          <w:szCs w:val="32"/>
        </w:rPr>
        <w:t>年春季起属地有关部门安排的工作，重点从以下</w:t>
      </w:r>
      <w:r>
        <w:rPr>
          <w:rFonts w:ascii="仿宋" w:hAnsi="仿宋" w:eastAsia="仿宋"/>
          <w:sz w:val="32"/>
          <w:szCs w:val="32"/>
        </w:rPr>
        <w:t>6</w:t>
      </w:r>
      <w:r>
        <w:rPr>
          <w:rFonts w:hint="eastAsia" w:ascii="仿宋" w:hAnsi="仿宋" w:eastAsia="仿宋"/>
          <w:sz w:val="32"/>
          <w:szCs w:val="32"/>
        </w:rPr>
        <w:t>个方面（摘自</w:t>
      </w:r>
      <w:r>
        <w:rPr>
          <w:rFonts w:hint="eastAsia" w:ascii="仿宋" w:hAnsi="仿宋" w:eastAsia="仿宋"/>
          <w:b/>
          <w:sz w:val="32"/>
          <w:szCs w:val="32"/>
        </w:rPr>
        <w:t>陕教组秘[</w:t>
      </w:r>
      <w:r>
        <w:rPr>
          <w:rFonts w:ascii="仿宋" w:hAnsi="仿宋" w:eastAsia="仿宋"/>
          <w:b/>
          <w:sz w:val="32"/>
          <w:szCs w:val="32"/>
        </w:rPr>
        <w:t>2024]4号文件</w:t>
      </w:r>
      <w:r>
        <w:rPr>
          <w:rFonts w:hint="eastAsia" w:ascii="仿宋" w:hAnsi="仿宋" w:eastAsia="仿宋"/>
          <w:sz w:val="32"/>
          <w:szCs w:val="32"/>
        </w:rPr>
        <w:t>）开展排查整治工作：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1</w:t>
      </w:r>
      <w:r>
        <w:rPr>
          <w:rFonts w:ascii="仿宋" w:hAnsi="仿宋" w:eastAsia="仿宋"/>
          <w:sz w:val="32"/>
          <w:szCs w:val="32"/>
        </w:rPr>
        <w:t>.</w:t>
      </w:r>
      <w:r>
        <w:rPr>
          <w:rFonts w:hint="eastAsia" w:ascii="仿宋" w:hAnsi="仿宋" w:eastAsia="仿宋"/>
          <w:sz w:val="32"/>
          <w:szCs w:val="32"/>
        </w:rPr>
        <w:t>排查整治执行中小学教师减负清单不力，对于面向学校的会议和文件数量缺乏统筹，各类工作群滥发通知；对事关师生切身利益的合理诉求解决少、解决慢等等工作作风漂浮、不担当、不作为，将各行业部门的工作摊派到学校甚至教师完成的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w:t>
      </w:r>
      <w:r>
        <w:rPr>
          <w:rFonts w:hint="eastAsia" w:ascii="仿宋" w:hAnsi="仿宋" w:eastAsia="仿宋"/>
          <w:sz w:val="32"/>
          <w:szCs w:val="32"/>
        </w:rPr>
        <w:t>排查整治面向学校和教师的督查检查考核统筹不力，事项过多、过滥，要求教师参与各类迎检、迎评等“面子工程”和“形象工程”，干扰学校正常教育教学秩序的问题。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3</w:t>
      </w:r>
      <w:r>
        <w:rPr>
          <w:rFonts w:ascii="仿宋" w:hAnsi="仿宋" w:eastAsia="仿宋"/>
          <w:sz w:val="32"/>
          <w:szCs w:val="32"/>
        </w:rPr>
        <w:t>.</w:t>
      </w:r>
      <w:r>
        <w:rPr>
          <w:rFonts w:hint="eastAsia" w:ascii="仿宋" w:hAnsi="仿宋" w:eastAsia="仿宋"/>
          <w:sz w:val="32"/>
          <w:szCs w:val="32"/>
        </w:rPr>
        <w:t>排查整治面向学校和教师的创建、评比、考核等工作过度留痕，工作台账多、材料重复报送，摊派与教育教学无关的“涨粉”“评比”“推销”等指令性任务的问题。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4</w:t>
      </w:r>
      <w:r>
        <w:rPr>
          <w:rFonts w:ascii="仿宋" w:hAnsi="仿宋" w:eastAsia="仿宋"/>
          <w:sz w:val="32"/>
          <w:szCs w:val="32"/>
        </w:rPr>
        <w:t>.</w:t>
      </w:r>
      <w:r>
        <w:rPr>
          <w:rFonts w:hint="eastAsia" w:ascii="仿宋" w:hAnsi="仿宋" w:eastAsia="仿宋"/>
          <w:sz w:val="32"/>
          <w:szCs w:val="32"/>
        </w:rPr>
        <w:t>排查整治中小学“进校园”活动制度空泛化，或不执行不落实，不审核或者审核不规范，社会事务进校园“杂”、数量多、质量低等问题。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5</w:t>
      </w:r>
      <w:r>
        <w:rPr>
          <w:rFonts w:ascii="仿宋" w:hAnsi="仿宋" w:eastAsia="仿宋"/>
          <w:sz w:val="32"/>
          <w:szCs w:val="32"/>
        </w:rPr>
        <w:t>.</w:t>
      </w:r>
      <w:r>
        <w:rPr>
          <w:rFonts w:hint="eastAsia" w:ascii="仿宋" w:hAnsi="仿宋" w:eastAsia="仿宋"/>
          <w:sz w:val="32"/>
          <w:szCs w:val="32"/>
        </w:rPr>
        <w:t>排查整治要求学校师生参加无关教育教学工作的会议、庆典等活动，硬性要求教师关注与教学无关的微信公众号和重复的办公类、管理类、学习类APP、参与网络投票和知识竞赛，随意占用学校人力物力精力等资源的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6</w:t>
      </w:r>
      <w:r>
        <w:rPr>
          <w:rFonts w:ascii="仿宋" w:hAnsi="仿宋" w:eastAsia="仿宋"/>
          <w:sz w:val="32"/>
          <w:szCs w:val="32"/>
        </w:rPr>
        <w:t>.</w:t>
      </w:r>
      <w:r>
        <w:rPr>
          <w:rFonts w:hint="eastAsia" w:ascii="仿宋" w:hAnsi="仿宋" w:eastAsia="仿宋"/>
          <w:sz w:val="32"/>
          <w:szCs w:val="32"/>
        </w:rPr>
        <w:t>排查整治违规抽调借用中小学教师和在编不在岗“吃空饷”的问题。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三、专项整治工作安排</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 w:hAnsi="仿宋" w:eastAsia="仿宋"/>
          <w:sz w:val="32"/>
          <w:szCs w:val="32"/>
        </w:rPr>
      </w:pPr>
      <w:r>
        <w:rPr>
          <w:rFonts w:hint="eastAsia" w:ascii="楷体" w:hAnsi="楷体" w:eastAsia="楷体"/>
          <w:b/>
          <w:sz w:val="32"/>
          <w:szCs w:val="32"/>
        </w:rPr>
        <w:t>（一）认真开展自查。</w:t>
      </w:r>
      <w:r>
        <w:rPr>
          <w:rFonts w:hint="eastAsia" w:ascii="仿宋" w:hAnsi="仿宋" w:eastAsia="仿宋"/>
          <w:sz w:val="32"/>
          <w:szCs w:val="32"/>
        </w:rPr>
        <w:t>6月1</w:t>
      </w:r>
      <w:r>
        <w:rPr>
          <w:rFonts w:ascii="仿宋" w:hAnsi="仿宋" w:eastAsia="仿宋"/>
          <w:sz w:val="32"/>
          <w:szCs w:val="32"/>
        </w:rPr>
        <w:t>0</w:t>
      </w:r>
      <w:r>
        <w:rPr>
          <w:rFonts w:hint="eastAsia" w:ascii="仿宋" w:hAnsi="仿宋" w:eastAsia="仿宋"/>
          <w:sz w:val="32"/>
          <w:szCs w:val="32"/>
        </w:rPr>
        <w:t>日前，中心机关及各个学校聚焦6个方面重点整治问题，结合实际开展自查。中心在</w:t>
      </w:r>
      <w:r>
        <w:rPr>
          <w:rFonts w:ascii="仿宋" w:hAnsi="仿宋" w:eastAsia="仿宋"/>
          <w:sz w:val="32"/>
          <w:szCs w:val="32"/>
        </w:rPr>
        <w:t>5</w:t>
      </w:r>
      <w:r>
        <w:rPr>
          <w:rFonts w:hint="eastAsia" w:ascii="仿宋" w:hAnsi="仿宋" w:eastAsia="仿宋"/>
          <w:sz w:val="32"/>
          <w:szCs w:val="32"/>
        </w:rPr>
        <w:t>月至6月期间，将教师减负专项整治工作纳入赴校检查内容，采取公布举报电话、走访座谈、问询约谈等方式，收集事关教师减负的问题线索，形成问题清单。</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 w:hAnsi="仿宋" w:eastAsia="仿宋"/>
          <w:sz w:val="32"/>
          <w:szCs w:val="32"/>
        </w:rPr>
      </w:pPr>
      <w:r>
        <w:rPr>
          <w:rFonts w:hint="eastAsia" w:ascii="楷体" w:hAnsi="楷体" w:eastAsia="楷体"/>
          <w:b/>
          <w:sz w:val="32"/>
          <w:szCs w:val="32"/>
        </w:rPr>
        <w:t>（二）全面整改落实。</w:t>
      </w:r>
      <w:r>
        <w:rPr>
          <w:rFonts w:hint="eastAsia" w:ascii="仿宋" w:hAnsi="仿宋" w:eastAsia="仿宋"/>
          <w:sz w:val="32"/>
          <w:szCs w:val="32"/>
        </w:rPr>
        <w:t>7月1</w:t>
      </w:r>
      <w:r>
        <w:rPr>
          <w:rFonts w:ascii="仿宋" w:hAnsi="仿宋" w:eastAsia="仿宋"/>
          <w:sz w:val="32"/>
          <w:szCs w:val="32"/>
        </w:rPr>
        <w:t>0</w:t>
      </w:r>
      <w:r>
        <w:rPr>
          <w:rFonts w:hint="eastAsia" w:ascii="仿宋" w:hAnsi="仿宋" w:eastAsia="仿宋"/>
          <w:sz w:val="32"/>
          <w:szCs w:val="32"/>
        </w:rPr>
        <w:t>日前，从中心到学校建立问题整改台账。凡是学校能够自行整改的问题，逐项明确整改目标、整改措施、责任主体和工作时限，做到立行立改。凡是学校层面不能解决的问题，形成问题台账（见附件2），上报中心领导小组办公室，由中心领导小组综合研判问题概况，结合实际向省委教育工作领导小组秘书组上报。</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 w:hAnsi="仿宋" w:eastAsia="仿宋"/>
          <w:sz w:val="32"/>
          <w:szCs w:val="32"/>
        </w:rPr>
      </w:pPr>
      <w:r>
        <w:rPr>
          <w:rFonts w:hint="eastAsia" w:ascii="楷体" w:hAnsi="楷体" w:eastAsia="楷体"/>
          <w:b/>
          <w:sz w:val="32"/>
          <w:szCs w:val="32"/>
        </w:rPr>
        <w:t>（三）巩固减负成效。</w:t>
      </w:r>
      <w:r>
        <w:rPr>
          <w:rFonts w:hint="eastAsia" w:ascii="仿宋" w:hAnsi="仿宋" w:eastAsia="仿宋"/>
          <w:sz w:val="32"/>
          <w:szCs w:val="32"/>
        </w:rPr>
        <w:t>9月1</w:t>
      </w:r>
      <w:r>
        <w:rPr>
          <w:rFonts w:ascii="仿宋" w:hAnsi="仿宋" w:eastAsia="仿宋"/>
          <w:sz w:val="32"/>
          <w:szCs w:val="32"/>
        </w:rPr>
        <w:t>0</w:t>
      </w:r>
      <w:r>
        <w:rPr>
          <w:rFonts w:hint="eastAsia" w:ascii="仿宋" w:hAnsi="仿宋" w:eastAsia="仿宋"/>
          <w:sz w:val="32"/>
          <w:szCs w:val="32"/>
        </w:rPr>
        <w:t>日前，开展教师减负问题专项整治“回头看”，防止已整改问题反弹，探索建立长效机制，持续巩固为教师减负的工作成效。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四、工作要求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各学校应高度重视此项工作，要对照中心工作通知，建立由校长总负责的教师减负专项工作机制，组织实施和持续推进此项工作。要面向全体教师公布中心举报电话，按照中心专项整治工作时间节点安排（6月1</w:t>
      </w:r>
      <w:r>
        <w:rPr>
          <w:rFonts w:ascii="仿宋" w:hAnsi="仿宋" w:eastAsia="仿宋"/>
          <w:sz w:val="32"/>
          <w:szCs w:val="32"/>
        </w:rPr>
        <w:t>0</w:t>
      </w:r>
      <w:r>
        <w:rPr>
          <w:rFonts w:hint="eastAsia" w:ascii="仿宋" w:hAnsi="仿宋" w:eastAsia="仿宋"/>
          <w:sz w:val="32"/>
          <w:szCs w:val="32"/>
        </w:rPr>
        <w:t>日前和7月1</w:t>
      </w:r>
      <w:r>
        <w:rPr>
          <w:rFonts w:ascii="仿宋" w:hAnsi="仿宋" w:eastAsia="仿宋"/>
          <w:sz w:val="32"/>
          <w:szCs w:val="32"/>
        </w:rPr>
        <w:t>0</w:t>
      </w:r>
      <w:r>
        <w:rPr>
          <w:rFonts w:hint="eastAsia" w:ascii="仿宋" w:hAnsi="仿宋" w:eastAsia="仿宋"/>
          <w:sz w:val="32"/>
          <w:szCs w:val="32"/>
        </w:rPr>
        <w:t>日前），按时上报工作进展情况和问题清单、问题整改台账。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 xml:space="preserve">联系人：王文庆 </w:t>
      </w:r>
      <w:r>
        <w:rPr>
          <w:rFonts w:ascii="仿宋" w:hAnsi="仿宋" w:eastAsia="仿宋"/>
          <w:sz w:val="32"/>
          <w:szCs w:val="32"/>
        </w:rPr>
        <w:t xml:space="preserve">   </w:t>
      </w:r>
      <w:r>
        <w:rPr>
          <w:rFonts w:hint="eastAsia" w:ascii="仿宋" w:hAnsi="仿宋" w:eastAsia="仿宋"/>
          <w:sz w:val="32"/>
          <w:szCs w:val="32"/>
        </w:rPr>
        <w:t xml:space="preserve">电 </w:t>
      </w:r>
      <w:r>
        <w:rPr>
          <w:rFonts w:ascii="仿宋" w:hAnsi="仿宋" w:eastAsia="仿宋"/>
          <w:sz w:val="32"/>
          <w:szCs w:val="32"/>
        </w:rPr>
        <w:t xml:space="preserve"> </w:t>
      </w:r>
      <w:r>
        <w:rPr>
          <w:rFonts w:hint="eastAsia" w:ascii="仿宋" w:hAnsi="仿宋" w:eastAsia="仿宋"/>
          <w:sz w:val="32"/>
          <w:szCs w:val="32"/>
        </w:rPr>
        <w:t>话：8</w:t>
      </w:r>
      <w:r>
        <w:rPr>
          <w:rFonts w:ascii="仿宋" w:hAnsi="仿宋" w:eastAsia="仿宋"/>
          <w:sz w:val="32"/>
          <w:szCs w:val="32"/>
        </w:rPr>
        <w:t>6978177</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附件：1</w:t>
      </w:r>
      <w:r>
        <w:rPr>
          <w:rFonts w:ascii="仿宋" w:hAnsi="仿宋" w:eastAsia="仿宋"/>
          <w:sz w:val="32"/>
          <w:szCs w:val="32"/>
        </w:rPr>
        <w:t>.</w:t>
      </w:r>
      <w:r>
        <w:rPr>
          <w:rFonts w:hint="eastAsia" w:ascii="仿宋" w:hAnsi="仿宋" w:eastAsia="仿宋"/>
          <w:sz w:val="32"/>
          <w:szCs w:val="32"/>
        </w:rPr>
        <w:t xml:space="preserve"> 陕西省中小学教师减负清单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 xml:space="preserve"> </w:t>
      </w:r>
      <w:r>
        <w:rPr>
          <w:rFonts w:ascii="仿宋" w:hAnsi="仿宋" w:eastAsia="仿宋"/>
          <w:sz w:val="32"/>
          <w:szCs w:val="32"/>
        </w:rPr>
        <w:t xml:space="preserve">     2. </w:t>
      </w:r>
      <w:r>
        <w:rPr>
          <w:rFonts w:hint="eastAsia" w:ascii="仿宋" w:hAnsi="仿宋" w:eastAsia="仿宋"/>
          <w:sz w:val="32"/>
          <w:szCs w:val="32"/>
        </w:rPr>
        <w:t>石油普教中心教师减负专项工作问题台账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textAlignment w:val="auto"/>
        <w:rPr>
          <w:rFonts w:ascii="仿宋" w:hAnsi="仿宋" w:eastAsia="仿宋"/>
          <w:sz w:val="32"/>
          <w:szCs w:val="32"/>
        </w:rPr>
      </w:pPr>
      <w:r>
        <w:rPr>
          <w:rFonts w:hint="eastAsia" w:ascii="仿宋" w:hAnsi="仿宋" w:eastAsia="仿宋"/>
          <w:sz w:val="32"/>
          <w:szCs w:val="32"/>
        </w:rPr>
        <w:t>陕西石油普通教育管理移交中心</w:t>
      </w:r>
    </w:p>
    <w:p>
      <w:pPr>
        <w:keepNext w:val="0"/>
        <w:keepLines w:val="0"/>
        <w:pageBreakBefore w:val="0"/>
        <w:widowControl w:val="0"/>
        <w:kinsoku/>
        <w:wordWrap/>
        <w:overflowPunct/>
        <w:topLinePunct w:val="0"/>
        <w:autoSpaceDE/>
        <w:autoSpaceDN/>
        <w:bidi w:val="0"/>
        <w:adjustRightInd/>
        <w:snapToGrid/>
        <w:spacing w:line="560" w:lineRule="exact"/>
        <w:ind w:firstLine="3840" w:firstLineChars="1200"/>
        <w:textAlignment w:val="auto"/>
        <w:rPr>
          <w:rFonts w:ascii="仿宋" w:hAnsi="仿宋" w:eastAsia="仿宋"/>
          <w:sz w:val="32"/>
          <w:szCs w:val="32"/>
        </w:rPr>
      </w:pPr>
      <w:r>
        <w:rPr>
          <w:rFonts w:ascii="仿宋" w:hAnsi="仿宋" w:eastAsia="仿宋"/>
          <w:sz w:val="32"/>
          <w:szCs w:val="32"/>
        </w:rPr>
        <w:t>2024年5月</w:t>
      </w:r>
      <w:r>
        <w:rPr>
          <w:rFonts w:hint="eastAsia" w:ascii="仿宋" w:hAnsi="仿宋" w:eastAsia="仿宋"/>
          <w:sz w:val="32"/>
          <w:szCs w:val="32"/>
          <w:lang w:val="en-US" w:eastAsia="zh-CN"/>
        </w:rPr>
        <w:t>10</w:t>
      </w:r>
      <w:r>
        <w:rPr>
          <w:rFonts w:ascii="仿宋" w:hAnsi="仿宋" w:eastAsia="仿宋"/>
          <w:sz w:val="32"/>
          <w:szCs w:val="32"/>
        </w:rPr>
        <w:t>日</w:t>
      </w:r>
    </w:p>
    <w:p>
      <w:pPr>
        <w:rPr>
          <w:rFonts w:ascii="黑体" w:hAnsi="黑体" w:eastAsia="黑体"/>
          <w:bCs/>
          <w:sz w:val="32"/>
          <w:szCs w:val="32"/>
        </w:rPr>
      </w:pPr>
      <w:r>
        <w:rPr>
          <w:rFonts w:hint="eastAsia" w:ascii="黑体" w:hAnsi="黑体" w:eastAsia="黑体"/>
          <w:bCs/>
          <w:sz w:val="32"/>
          <w:szCs w:val="32"/>
        </w:rPr>
        <w:t>附件1</w:t>
      </w:r>
    </w:p>
    <w:p>
      <w:pPr>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陕西省中小学教师减负清单</w:t>
      </w:r>
    </w:p>
    <w:p>
      <w:pPr>
        <w:ind w:firstLine="640" w:firstLineChars="200"/>
        <w:rPr>
          <w:rFonts w:ascii="仿宋" w:hAnsi="仿宋" w:eastAsia="仿宋"/>
          <w:sz w:val="32"/>
          <w:szCs w:val="32"/>
        </w:rPr>
      </w:pPr>
    </w:p>
    <w:p>
      <w:pPr>
        <w:ind w:firstLine="640" w:firstLineChars="200"/>
        <w:rPr>
          <w:rFonts w:ascii="仿宋" w:hAnsi="仿宋" w:eastAsia="仿宋"/>
          <w:sz w:val="32"/>
          <w:szCs w:val="32"/>
        </w:rPr>
      </w:pPr>
      <w:r>
        <w:rPr>
          <w:rFonts w:hint="eastAsia" w:ascii="仿宋" w:hAnsi="仿宋" w:eastAsia="仿宋"/>
          <w:sz w:val="32"/>
          <w:szCs w:val="32"/>
        </w:rPr>
        <w:t>为认真贯彻落实《中共中央办公厅、国务院办公厅印发〈关于减轻中小学教师负担进一步营造教育教学良好环境的若干意见〉的通知》（厅字〔2019〕54号）精神，切实减轻中小学教师负担，进一步营造尊师重教的浓厚社会氛围，结合我省实际，制定本清单。</w:t>
      </w:r>
    </w:p>
    <w:p>
      <w:pPr>
        <w:rPr>
          <w:rFonts w:ascii="仿宋" w:hAnsi="仿宋" w:eastAsia="仿宋"/>
          <w:sz w:val="32"/>
          <w:szCs w:val="32"/>
        </w:rPr>
      </w:pPr>
      <w:r>
        <w:rPr>
          <w:rFonts w:hint="eastAsia" w:ascii="仿宋" w:hAnsi="仿宋" w:eastAsia="仿宋"/>
          <w:sz w:val="32"/>
          <w:szCs w:val="32"/>
        </w:rPr>
        <w:t>　　1.规范督查检查评比考核。各部门开展涉及中小学校和教师的督查检查评比考核事项，按照归口管理原则，实行年度计划和审批报备制度。未列入年度计划、未经审批报备的督查检查评比考核事项原则上不得开展。</w:t>
      </w:r>
    </w:p>
    <w:p>
      <w:pPr>
        <w:rPr>
          <w:rFonts w:ascii="仿宋" w:hAnsi="仿宋" w:eastAsia="仿宋"/>
          <w:sz w:val="32"/>
          <w:szCs w:val="32"/>
        </w:rPr>
      </w:pPr>
      <w:r>
        <w:rPr>
          <w:rFonts w:hint="eastAsia" w:ascii="仿宋" w:hAnsi="仿宋" w:eastAsia="仿宋"/>
          <w:sz w:val="32"/>
          <w:szCs w:val="32"/>
        </w:rPr>
        <w:t>　　2.杜绝强行摊派无关社会事务。各级党委和政府统一部署的走村入户扶贫、上街巡逻巡查执勤、庆典招商、拆迁、接待安保等与教育教学无关的社会事务，不得强令中小学教师参与。</w:t>
      </w:r>
    </w:p>
    <w:p>
      <w:pPr>
        <w:rPr>
          <w:rFonts w:ascii="仿宋" w:hAnsi="仿宋" w:eastAsia="仿宋"/>
          <w:sz w:val="32"/>
          <w:szCs w:val="32"/>
        </w:rPr>
      </w:pPr>
      <w:r>
        <w:rPr>
          <w:rFonts w:hint="eastAsia" w:ascii="仿宋" w:hAnsi="仿宋" w:eastAsia="仿宋"/>
          <w:sz w:val="32"/>
          <w:szCs w:val="32"/>
        </w:rPr>
        <w:t>　　3.规范开展各类创先争优活动。涉及中小学校的创优工作，须由同级教育部门按要求依程序统筹安排，不得变相摊派与教育教学无关的各类示范、先进、基地、明星学校等评比创建活动。</w:t>
      </w:r>
    </w:p>
    <w:p>
      <w:pPr>
        <w:rPr>
          <w:rFonts w:ascii="仿宋" w:hAnsi="仿宋" w:eastAsia="仿宋"/>
          <w:sz w:val="32"/>
          <w:szCs w:val="32"/>
        </w:rPr>
      </w:pPr>
      <w:r>
        <w:rPr>
          <w:rFonts w:hint="eastAsia" w:ascii="仿宋" w:hAnsi="仿宋" w:eastAsia="仿宋"/>
          <w:sz w:val="32"/>
          <w:szCs w:val="32"/>
        </w:rPr>
        <w:t>　　4.严格控制与教育教学活动无关的考察检查。未经同级教育部门同意，不得组织开展与教育教学无关的入校考察、观摩、检查排查等活动。</w:t>
      </w:r>
    </w:p>
    <w:p>
      <w:pPr>
        <w:rPr>
          <w:rFonts w:ascii="仿宋" w:hAnsi="仿宋" w:eastAsia="仿宋"/>
          <w:sz w:val="32"/>
          <w:szCs w:val="32"/>
        </w:rPr>
      </w:pPr>
      <w:r>
        <w:rPr>
          <w:rFonts w:hint="eastAsia" w:ascii="仿宋" w:hAnsi="仿宋" w:eastAsia="仿宋"/>
          <w:sz w:val="32"/>
          <w:szCs w:val="32"/>
        </w:rPr>
        <w:t>　　5.严禁占用学校资源开展无关活动。未经同级党委和政府批准，不得占用学校操场、教室、礼堂等场地设施举办各类捐赠颁奖、文艺演出、庆典等与教育教学无关的活动。</w:t>
      </w:r>
    </w:p>
    <w:p>
      <w:pPr>
        <w:rPr>
          <w:rFonts w:ascii="仿宋" w:hAnsi="仿宋" w:eastAsia="仿宋"/>
          <w:sz w:val="32"/>
          <w:szCs w:val="32"/>
        </w:rPr>
      </w:pPr>
      <w:r>
        <w:rPr>
          <w:rFonts w:hint="eastAsia" w:ascii="仿宋" w:hAnsi="仿宋" w:eastAsia="仿宋"/>
          <w:sz w:val="32"/>
          <w:szCs w:val="32"/>
        </w:rPr>
        <w:t>　　6.合理安排城市创先评优任务。未涉及中小学校的城市创优评先任务不得要求学校开展，涉及中小学校的由同级教育部门依程序统筹安排，不得强令中小学教师参与。</w:t>
      </w:r>
    </w:p>
    <w:p>
      <w:pPr>
        <w:rPr>
          <w:rFonts w:ascii="仿宋" w:hAnsi="仿宋" w:eastAsia="仿宋"/>
          <w:sz w:val="32"/>
          <w:szCs w:val="32"/>
        </w:rPr>
      </w:pPr>
      <w:r>
        <w:rPr>
          <w:rFonts w:hint="eastAsia" w:ascii="仿宋" w:hAnsi="仿宋" w:eastAsia="仿宋"/>
          <w:sz w:val="32"/>
          <w:szCs w:val="32"/>
        </w:rPr>
        <w:t>　　7.科学安排有关宣传教育活动进校园。面向中小学生开展的法制教育、公民道德教育、防溺水教育、消防安全、禁毒防艾、健康教育、家庭教育等宣传教育活动，及各类公益活动、读书活动、社会投票活动等，须由同级教育部门整体规划，按要求依程序统筹安排。</w:t>
      </w:r>
    </w:p>
    <w:p>
      <w:pPr>
        <w:rPr>
          <w:rFonts w:ascii="仿宋" w:hAnsi="仿宋" w:eastAsia="仿宋"/>
          <w:sz w:val="32"/>
          <w:szCs w:val="32"/>
        </w:rPr>
      </w:pPr>
      <w:r>
        <w:rPr>
          <w:rFonts w:hint="eastAsia" w:ascii="仿宋" w:hAnsi="仿宋" w:eastAsia="仿宋"/>
          <w:sz w:val="32"/>
          <w:szCs w:val="32"/>
        </w:rPr>
        <w:t>　　8.规范精简各类报表填写。各级党委和政府及教育部门要严格规范涉及中小学教师的报表填写工作，根据实际需要统筹安排，杜绝各种数据重复上报及表格多头填写报送。除国家统计局外，其他部门开展涉及中小学校和教师的教育统计工作须向同级政府统计部门审批备案。</w:t>
      </w:r>
    </w:p>
    <w:p>
      <w:pPr>
        <w:rPr>
          <w:rFonts w:ascii="仿宋" w:hAnsi="仿宋" w:eastAsia="仿宋"/>
          <w:sz w:val="32"/>
          <w:szCs w:val="32"/>
        </w:rPr>
      </w:pPr>
      <w:r>
        <w:rPr>
          <w:rFonts w:hint="eastAsia" w:ascii="仿宋" w:hAnsi="仿宋" w:eastAsia="仿宋"/>
          <w:sz w:val="32"/>
          <w:szCs w:val="32"/>
        </w:rPr>
        <w:t>　　9.提升数据采集信息化水平。各级教育部门和学校要充分利用现有教育信息数据库，按权限获取相应的数据，努力做到一次采集多次使用。杜绝重复建立涉及中小学教师的各类信息库。</w:t>
      </w:r>
    </w:p>
    <w:p>
      <w:pPr>
        <w:rPr>
          <w:rFonts w:ascii="仿宋" w:hAnsi="仿宋" w:eastAsia="仿宋"/>
          <w:sz w:val="32"/>
          <w:szCs w:val="32"/>
        </w:rPr>
      </w:pPr>
      <w:r>
        <w:rPr>
          <w:rFonts w:hint="eastAsia" w:ascii="仿宋" w:hAnsi="仿宋" w:eastAsia="仿宋"/>
          <w:sz w:val="32"/>
          <w:szCs w:val="32"/>
        </w:rPr>
        <w:t>　　10.不得强制要求完成各类无关资料。各级教育部门和学校要严格把关，杜绝强制要求中小学教师完成与教育教学无关的问卷调查、调研材料、课题研究、档案整理、资料收集、普查调查等资料。</w:t>
      </w:r>
    </w:p>
    <w:p>
      <w:pPr>
        <w:rPr>
          <w:rFonts w:ascii="仿宋" w:hAnsi="仿宋" w:eastAsia="仿宋"/>
          <w:sz w:val="32"/>
          <w:szCs w:val="32"/>
        </w:rPr>
      </w:pPr>
      <w:r>
        <w:rPr>
          <w:rFonts w:hint="eastAsia" w:ascii="仿宋" w:hAnsi="仿宋" w:eastAsia="仿宋"/>
          <w:sz w:val="32"/>
          <w:szCs w:val="32"/>
        </w:rPr>
        <w:t>　　11.统筹安排中小学教师培训活动。除教育部门和人力资源社会保障部门依法依规开展的培训外，其他部门和机构组织的与教育教学无关的培训，原则上不得安排学校和教师参加。</w:t>
      </w:r>
    </w:p>
    <w:p>
      <w:pPr>
        <w:rPr>
          <w:rFonts w:ascii="仿宋" w:hAnsi="仿宋" w:eastAsia="仿宋"/>
          <w:sz w:val="32"/>
          <w:szCs w:val="32"/>
        </w:rPr>
      </w:pPr>
      <w:r>
        <w:rPr>
          <w:rFonts w:hint="eastAsia" w:ascii="仿宋" w:hAnsi="仿宋" w:eastAsia="仿宋"/>
          <w:sz w:val="32"/>
          <w:szCs w:val="32"/>
        </w:rPr>
        <w:t>　　12.规范管理面向中小学师生的竞赛活动。不得开展超出教育部门公布的清单范围的评审评比和竞赛活动。确需开展的，应在每年3月向中国教育学会申请，坚持适度原则，控制竞赛规模，不得影响学校正常教育教学秩序。</w:t>
      </w:r>
    </w:p>
    <w:p>
      <w:pPr>
        <w:rPr>
          <w:rFonts w:ascii="仿宋" w:hAnsi="仿宋" w:eastAsia="仿宋"/>
          <w:sz w:val="32"/>
          <w:szCs w:val="32"/>
        </w:rPr>
      </w:pPr>
      <w:r>
        <w:rPr>
          <w:rFonts w:hint="eastAsia" w:ascii="仿宋" w:hAnsi="仿宋" w:eastAsia="仿宋"/>
          <w:sz w:val="32"/>
          <w:szCs w:val="32"/>
        </w:rPr>
        <w:t>　　13.合理安排中小学教师参与社会活动。不得硬性要求中小学教师参与微信公众平台或APP投票、点赞、答题，推广宣传、座谈研讨、心得交流，撰写征文、论文、案例、稿件、报告等与教育教学无关的活动。</w:t>
      </w:r>
    </w:p>
    <w:p>
      <w:pPr>
        <w:rPr>
          <w:rFonts w:ascii="仿宋" w:hAnsi="仿宋" w:eastAsia="仿宋"/>
          <w:sz w:val="32"/>
          <w:szCs w:val="32"/>
        </w:rPr>
      </w:pPr>
      <w:r>
        <w:rPr>
          <w:rFonts w:hint="eastAsia" w:ascii="仿宋" w:hAnsi="仿宋" w:eastAsia="仿宋"/>
          <w:sz w:val="32"/>
          <w:szCs w:val="32"/>
        </w:rPr>
        <w:t>　　14.优化改进教师考核评价方式。教师考核应体现差别化原则，突出工作实绩，不得要求教师下载安装与教育教学无关的手机APP、登录小程序、关注公众号，不得以微信工作群、政务APP（应用程序）上传工作场景截图或拍照、录像等方式来替代实际工作评价。</w:t>
      </w:r>
    </w:p>
    <w:p>
      <w:pPr>
        <w:ind w:firstLine="652"/>
        <w:rPr>
          <w:rFonts w:hint="eastAsia" w:ascii="仿宋" w:hAnsi="仿宋" w:eastAsia="仿宋"/>
          <w:sz w:val="32"/>
          <w:szCs w:val="32"/>
        </w:rPr>
      </w:pPr>
      <w:r>
        <w:rPr>
          <w:rFonts w:hint="eastAsia" w:ascii="仿宋" w:hAnsi="仿宋" w:eastAsia="仿宋"/>
          <w:sz w:val="32"/>
          <w:szCs w:val="32"/>
        </w:rPr>
        <w:t>15.规范抽调借用中小学教师行为。各级党委和政府要严格限制和规范抽调借用中小学教师行为，坚持定期清理、限期清退。对于借用中小学教师参与贯彻落实党和国家重大决策部署任务的，在不影响学校正常教育教学的前提下，应经县级以上教育部门同意，并报同级党委审批备案，借用期限原则上不超过半年。</w:t>
      </w:r>
    </w:p>
    <w:p>
      <w:pPr>
        <w:ind w:firstLine="652"/>
        <w:rPr>
          <w:rFonts w:hint="eastAsia" w:ascii="仿宋" w:hAnsi="仿宋" w:eastAsia="仿宋"/>
          <w:sz w:val="32"/>
          <w:szCs w:val="32"/>
        </w:rPr>
        <w:sectPr>
          <w:footerReference r:id="rId4" w:type="default"/>
          <w:pgSz w:w="11906" w:h="16838"/>
          <w:pgMar w:top="1440" w:right="1800" w:bottom="1440" w:left="1800" w:header="851" w:footer="992" w:gutter="0"/>
          <w:pgNumType w:fmt="decimal" w:start="2"/>
          <w:cols w:space="425" w:num="1"/>
          <w:docGrid w:type="lines" w:linePitch="312" w:charSpace="0"/>
        </w:sectPr>
      </w:pPr>
    </w:p>
    <w:p>
      <w:pPr>
        <w:rPr>
          <w:rFonts w:hint="eastAsia" w:ascii="黑体" w:hAnsi="黑体" w:eastAsia="黑体" w:cs="黑体"/>
          <w:sz w:val="32"/>
          <w:szCs w:val="32"/>
        </w:rPr>
      </w:pPr>
      <w:r>
        <w:rPr>
          <w:rFonts w:hint="eastAsia" w:ascii="黑体" w:hAnsi="黑体" w:eastAsia="黑体" w:cs="黑体"/>
          <w:sz w:val="32"/>
          <w:szCs w:val="32"/>
        </w:rPr>
        <w:t>附件2</w:t>
      </w: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石油普教中心为教师减负专项工作问题整改台账</w:t>
      </w:r>
    </w:p>
    <w:p>
      <w:pPr>
        <w:jc w:val="both"/>
        <w:rPr>
          <w:rFonts w:hint="eastAsia"/>
          <w:sz w:val="36"/>
          <w:szCs w:val="36"/>
        </w:rPr>
      </w:pPr>
    </w:p>
    <w:p>
      <w:pPr>
        <w:rPr>
          <w:rFonts w:hint="eastAsia" w:ascii="仿宋" w:hAnsi="仿宋" w:eastAsia="仿宋" w:cs="仿宋"/>
          <w:sz w:val="32"/>
          <w:szCs w:val="32"/>
        </w:rPr>
      </w:pPr>
      <w:r>
        <w:rPr>
          <w:rFonts w:hint="eastAsia" w:ascii="仿宋" w:hAnsi="仿宋" w:eastAsia="仿宋" w:cs="仿宋"/>
          <w:sz w:val="32"/>
          <w:szCs w:val="32"/>
        </w:rPr>
        <w:t>学校名称：                          负责人：                 联系电话：</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2782"/>
        <w:gridCol w:w="1329"/>
        <w:gridCol w:w="2693"/>
        <w:gridCol w:w="1418"/>
        <w:gridCol w:w="1534"/>
        <w:gridCol w:w="1744"/>
        <w:gridCol w:w="1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trPr>
        <w:tc>
          <w:tcPr>
            <w:tcW w:w="704" w:type="dxa"/>
            <w:vAlign w:val="center"/>
          </w:tcPr>
          <w:p>
            <w:pPr>
              <w:jc w:val="center"/>
              <w:rPr>
                <w:rFonts w:hint="eastAsia"/>
              </w:rPr>
            </w:pPr>
            <w:r>
              <w:rPr>
                <w:rFonts w:hint="eastAsia"/>
              </w:rPr>
              <w:t>序号</w:t>
            </w:r>
          </w:p>
        </w:tc>
        <w:tc>
          <w:tcPr>
            <w:tcW w:w="2782" w:type="dxa"/>
            <w:vAlign w:val="center"/>
          </w:tcPr>
          <w:p>
            <w:pPr>
              <w:jc w:val="center"/>
              <w:rPr>
                <w:rFonts w:hint="eastAsia"/>
              </w:rPr>
            </w:pPr>
            <w:r>
              <w:rPr>
                <w:rFonts w:hint="eastAsia"/>
              </w:rPr>
              <w:t>存在问题</w:t>
            </w:r>
          </w:p>
        </w:tc>
        <w:tc>
          <w:tcPr>
            <w:tcW w:w="1329" w:type="dxa"/>
            <w:vAlign w:val="center"/>
          </w:tcPr>
          <w:p>
            <w:pPr>
              <w:jc w:val="center"/>
              <w:rPr>
                <w:rFonts w:hint="eastAsia"/>
              </w:rPr>
            </w:pPr>
            <w:r>
              <w:rPr>
                <w:rFonts w:hint="eastAsia"/>
              </w:rPr>
              <w:t>问题来源</w:t>
            </w:r>
          </w:p>
        </w:tc>
        <w:tc>
          <w:tcPr>
            <w:tcW w:w="2693" w:type="dxa"/>
            <w:vAlign w:val="center"/>
          </w:tcPr>
          <w:p>
            <w:pPr>
              <w:jc w:val="center"/>
              <w:rPr>
                <w:rFonts w:hint="eastAsia"/>
              </w:rPr>
            </w:pPr>
            <w:r>
              <w:rPr>
                <w:rFonts w:hint="eastAsia"/>
              </w:rPr>
              <w:t>整改措施</w:t>
            </w:r>
          </w:p>
        </w:tc>
        <w:tc>
          <w:tcPr>
            <w:tcW w:w="1418" w:type="dxa"/>
            <w:vAlign w:val="center"/>
          </w:tcPr>
          <w:p>
            <w:pPr>
              <w:jc w:val="center"/>
              <w:rPr>
                <w:rFonts w:hint="eastAsia"/>
              </w:rPr>
            </w:pPr>
            <w:r>
              <w:rPr>
                <w:rFonts w:hint="eastAsia"/>
              </w:rPr>
              <w:t>整改时限</w:t>
            </w:r>
          </w:p>
        </w:tc>
        <w:tc>
          <w:tcPr>
            <w:tcW w:w="1534" w:type="dxa"/>
            <w:vAlign w:val="center"/>
          </w:tcPr>
          <w:p>
            <w:pPr>
              <w:jc w:val="center"/>
              <w:rPr>
                <w:rFonts w:hint="eastAsia"/>
              </w:rPr>
            </w:pPr>
            <w:r>
              <w:rPr>
                <w:rFonts w:hint="eastAsia"/>
              </w:rPr>
              <w:t>工作进展</w:t>
            </w:r>
          </w:p>
        </w:tc>
        <w:tc>
          <w:tcPr>
            <w:tcW w:w="1744" w:type="dxa"/>
            <w:vAlign w:val="center"/>
          </w:tcPr>
          <w:p>
            <w:pPr>
              <w:jc w:val="center"/>
              <w:rPr>
                <w:rFonts w:hint="eastAsia"/>
              </w:rPr>
            </w:pPr>
            <w:r>
              <w:rPr>
                <w:rFonts w:hint="eastAsia"/>
              </w:rPr>
              <w:t>整改结果</w:t>
            </w:r>
          </w:p>
        </w:tc>
        <w:tc>
          <w:tcPr>
            <w:tcW w:w="1744" w:type="dxa"/>
            <w:vAlign w:val="center"/>
          </w:tcPr>
          <w:p>
            <w:pPr>
              <w:jc w:val="center"/>
              <w:rPr>
                <w:rFonts w:hint="eastAsia"/>
              </w:rPr>
            </w:pPr>
            <w:r>
              <w:rPr>
                <w:rFonts w:hint="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704" w:type="dxa"/>
            <w:vAlign w:val="center"/>
          </w:tcPr>
          <w:p>
            <w:pPr>
              <w:jc w:val="center"/>
              <w:rPr>
                <w:rFonts w:hint="eastAsia"/>
              </w:rPr>
            </w:pPr>
            <w:r>
              <w:rPr>
                <w:rFonts w:hint="eastAsia"/>
              </w:rPr>
              <w:t>1</w:t>
            </w:r>
          </w:p>
        </w:tc>
        <w:tc>
          <w:tcPr>
            <w:tcW w:w="2782" w:type="dxa"/>
            <w:vAlign w:val="center"/>
          </w:tcPr>
          <w:p>
            <w:pPr>
              <w:jc w:val="center"/>
              <w:rPr>
                <w:rFonts w:hint="eastAsia"/>
              </w:rPr>
            </w:pPr>
          </w:p>
        </w:tc>
        <w:tc>
          <w:tcPr>
            <w:tcW w:w="1329" w:type="dxa"/>
            <w:vAlign w:val="center"/>
          </w:tcPr>
          <w:p>
            <w:pPr>
              <w:jc w:val="center"/>
              <w:rPr>
                <w:rFonts w:hint="eastAsia"/>
              </w:rPr>
            </w:pPr>
          </w:p>
        </w:tc>
        <w:tc>
          <w:tcPr>
            <w:tcW w:w="2693" w:type="dxa"/>
            <w:vAlign w:val="center"/>
          </w:tcPr>
          <w:p>
            <w:pPr>
              <w:jc w:val="center"/>
              <w:rPr>
                <w:rFonts w:hint="eastAsia"/>
              </w:rPr>
            </w:pPr>
          </w:p>
        </w:tc>
        <w:tc>
          <w:tcPr>
            <w:tcW w:w="1418" w:type="dxa"/>
            <w:vAlign w:val="center"/>
          </w:tcPr>
          <w:p>
            <w:pPr>
              <w:jc w:val="center"/>
              <w:rPr>
                <w:rFonts w:hint="eastAsia"/>
              </w:rPr>
            </w:pPr>
          </w:p>
        </w:tc>
        <w:tc>
          <w:tcPr>
            <w:tcW w:w="1534" w:type="dxa"/>
            <w:vAlign w:val="center"/>
          </w:tcPr>
          <w:p>
            <w:pPr>
              <w:jc w:val="center"/>
              <w:rPr>
                <w:rFonts w:hint="eastAsia"/>
              </w:rPr>
            </w:pPr>
          </w:p>
        </w:tc>
        <w:tc>
          <w:tcPr>
            <w:tcW w:w="1744" w:type="dxa"/>
            <w:vAlign w:val="center"/>
          </w:tcPr>
          <w:p>
            <w:pPr>
              <w:jc w:val="center"/>
              <w:rPr>
                <w:rFonts w:hint="eastAsia"/>
              </w:rPr>
            </w:pPr>
          </w:p>
        </w:tc>
        <w:tc>
          <w:tcPr>
            <w:tcW w:w="1744" w:type="dxa"/>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704" w:type="dxa"/>
            <w:vAlign w:val="center"/>
          </w:tcPr>
          <w:p>
            <w:pPr>
              <w:jc w:val="center"/>
              <w:rPr>
                <w:rFonts w:hint="eastAsia"/>
              </w:rPr>
            </w:pPr>
            <w:r>
              <w:rPr>
                <w:rFonts w:hint="eastAsia"/>
              </w:rPr>
              <w:t>2</w:t>
            </w:r>
          </w:p>
        </w:tc>
        <w:tc>
          <w:tcPr>
            <w:tcW w:w="2782" w:type="dxa"/>
            <w:vAlign w:val="center"/>
          </w:tcPr>
          <w:p>
            <w:pPr>
              <w:jc w:val="center"/>
              <w:rPr>
                <w:rFonts w:hint="eastAsia"/>
              </w:rPr>
            </w:pPr>
          </w:p>
        </w:tc>
        <w:tc>
          <w:tcPr>
            <w:tcW w:w="1329" w:type="dxa"/>
            <w:vAlign w:val="center"/>
          </w:tcPr>
          <w:p>
            <w:pPr>
              <w:jc w:val="center"/>
              <w:rPr>
                <w:rFonts w:hint="eastAsia"/>
              </w:rPr>
            </w:pPr>
          </w:p>
        </w:tc>
        <w:tc>
          <w:tcPr>
            <w:tcW w:w="2693" w:type="dxa"/>
            <w:vAlign w:val="center"/>
          </w:tcPr>
          <w:p>
            <w:pPr>
              <w:jc w:val="center"/>
              <w:rPr>
                <w:rFonts w:hint="eastAsia"/>
              </w:rPr>
            </w:pPr>
          </w:p>
        </w:tc>
        <w:tc>
          <w:tcPr>
            <w:tcW w:w="1418" w:type="dxa"/>
            <w:vAlign w:val="center"/>
          </w:tcPr>
          <w:p>
            <w:pPr>
              <w:jc w:val="center"/>
              <w:rPr>
                <w:rFonts w:hint="eastAsia"/>
              </w:rPr>
            </w:pPr>
          </w:p>
        </w:tc>
        <w:tc>
          <w:tcPr>
            <w:tcW w:w="1534" w:type="dxa"/>
            <w:vAlign w:val="center"/>
          </w:tcPr>
          <w:p>
            <w:pPr>
              <w:jc w:val="center"/>
              <w:rPr>
                <w:rFonts w:hint="eastAsia"/>
              </w:rPr>
            </w:pPr>
          </w:p>
        </w:tc>
        <w:tc>
          <w:tcPr>
            <w:tcW w:w="1744" w:type="dxa"/>
            <w:vAlign w:val="center"/>
          </w:tcPr>
          <w:p>
            <w:pPr>
              <w:jc w:val="center"/>
              <w:rPr>
                <w:rFonts w:hint="eastAsia"/>
              </w:rPr>
            </w:pPr>
          </w:p>
        </w:tc>
        <w:tc>
          <w:tcPr>
            <w:tcW w:w="1744" w:type="dxa"/>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704" w:type="dxa"/>
            <w:vAlign w:val="center"/>
          </w:tcPr>
          <w:p>
            <w:pPr>
              <w:jc w:val="center"/>
              <w:rPr>
                <w:rFonts w:hint="eastAsia"/>
              </w:rPr>
            </w:pPr>
            <w:r>
              <w:rPr>
                <w:rFonts w:hint="eastAsia"/>
              </w:rPr>
              <w:t>3</w:t>
            </w:r>
          </w:p>
        </w:tc>
        <w:tc>
          <w:tcPr>
            <w:tcW w:w="2782" w:type="dxa"/>
            <w:vAlign w:val="center"/>
          </w:tcPr>
          <w:p>
            <w:pPr>
              <w:jc w:val="center"/>
              <w:rPr>
                <w:rFonts w:hint="eastAsia"/>
              </w:rPr>
            </w:pPr>
          </w:p>
        </w:tc>
        <w:tc>
          <w:tcPr>
            <w:tcW w:w="1329" w:type="dxa"/>
            <w:vAlign w:val="center"/>
          </w:tcPr>
          <w:p>
            <w:pPr>
              <w:jc w:val="center"/>
              <w:rPr>
                <w:rFonts w:hint="eastAsia"/>
              </w:rPr>
            </w:pPr>
          </w:p>
        </w:tc>
        <w:tc>
          <w:tcPr>
            <w:tcW w:w="2693" w:type="dxa"/>
            <w:vAlign w:val="center"/>
          </w:tcPr>
          <w:p>
            <w:pPr>
              <w:jc w:val="center"/>
              <w:rPr>
                <w:rFonts w:hint="eastAsia"/>
              </w:rPr>
            </w:pPr>
          </w:p>
        </w:tc>
        <w:tc>
          <w:tcPr>
            <w:tcW w:w="1418" w:type="dxa"/>
            <w:vAlign w:val="center"/>
          </w:tcPr>
          <w:p>
            <w:pPr>
              <w:jc w:val="center"/>
              <w:rPr>
                <w:rFonts w:hint="eastAsia"/>
              </w:rPr>
            </w:pPr>
          </w:p>
        </w:tc>
        <w:tc>
          <w:tcPr>
            <w:tcW w:w="1534" w:type="dxa"/>
            <w:vAlign w:val="center"/>
          </w:tcPr>
          <w:p>
            <w:pPr>
              <w:jc w:val="center"/>
              <w:rPr>
                <w:rFonts w:hint="eastAsia"/>
              </w:rPr>
            </w:pPr>
          </w:p>
        </w:tc>
        <w:tc>
          <w:tcPr>
            <w:tcW w:w="1744" w:type="dxa"/>
            <w:vAlign w:val="center"/>
          </w:tcPr>
          <w:p>
            <w:pPr>
              <w:jc w:val="center"/>
              <w:rPr>
                <w:rFonts w:hint="eastAsia"/>
              </w:rPr>
            </w:pPr>
          </w:p>
        </w:tc>
        <w:tc>
          <w:tcPr>
            <w:tcW w:w="1744" w:type="dxa"/>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704" w:type="dxa"/>
            <w:vAlign w:val="center"/>
          </w:tcPr>
          <w:p>
            <w:pPr>
              <w:jc w:val="center"/>
              <w:rPr>
                <w:rFonts w:hint="eastAsia"/>
              </w:rPr>
            </w:pPr>
            <w:r>
              <w:rPr>
                <w:rFonts w:hint="eastAsia"/>
              </w:rPr>
              <w:t>4</w:t>
            </w:r>
          </w:p>
        </w:tc>
        <w:tc>
          <w:tcPr>
            <w:tcW w:w="2782" w:type="dxa"/>
            <w:vAlign w:val="center"/>
          </w:tcPr>
          <w:p>
            <w:pPr>
              <w:jc w:val="center"/>
              <w:rPr>
                <w:rFonts w:hint="eastAsia"/>
              </w:rPr>
            </w:pPr>
          </w:p>
        </w:tc>
        <w:tc>
          <w:tcPr>
            <w:tcW w:w="1329" w:type="dxa"/>
            <w:vAlign w:val="center"/>
          </w:tcPr>
          <w:p>
            <w:pPr>
              <w:jc w:val="center"/>
              <w:rPr>
                <w:rFonts w:hint="eastAsia"/>
              </w:rPr>
            </w:pPr>
          </w:p>
        </w:tc>
        <w:tc>
          <w:tcPr>
            <w:tcW w:w="2693" w:type="dxa"/>
            <w:vAlign w:val="center"/>
          </w:tcPr>
          <w:p>
            <w:pPr>
              <w:jc w:val="center"/>
              <w:rPr>
                <w:rFonts w:hint="eastAsia"/>
              </w:rPr>
            </w:pPr>
          </w:p>
        </w:tc>
        <w:tc>
          <w:tcPr>
            <w:tcW w:w="1418" w:type="dxa"/>
            <w:vAlign w:val="center"/>
          </w:tcPr>
          <w:p>
            <w:pPr>
              <w:jc w:val="center"/>
              <w:rPr>
                <w:rFonts w:hint="eastAsia"/>
              </w:rPr>
            </w:pPr>
          </w:p>
        </w:tc>
        <w:tc>
          <w:tcPr>
            <w:tcW w:w="1534" w:type="dxa"/>
            <w:vAlign w:val="center"/>
          </w:tcPr>
          <w:p>
            <w:pPr>
              <w:jc w:val="center"/>
              <w:rPr>
                <w:rFonts w:hint="eastAsia"/>
              </w:rPr>
            </w:pPr>
          </w:p>
        </w:tc>
        <w:tc>
          <w:tcPr>
            <w:tcW w:w="1744" w:type="dxa"/>
            <w:vAlign w:val="center"/>
          </w:tcPr>
          <w:p>
            <w:pPr>
              <w:jc w:val="center"/>
              <w:rPr>
                <w:rFonts w:hint="eastAsia"/>
              </w:rPr>
            </w:pPr>
          </w:p>
        </w:tc>
        <w:tc>
          <w:tcPr>
            <w:tcW w:w="1744" w:type="dxa"/>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704" w:type="dxa"/>
            <w:vAlign w:val="center"/>
          </w:tcPr>
          <w:p>
            <w:pPr>
              <w:jc w:val="center"/>
              <w:rPr>
                <w:rFonts w:hint="eastAsia"/>
              </w:rPr>
            </w:pPr>
            <w:r>
              <w:rPr>
                <w:rFonts w:hint="eastAsia"/>
              </w:rPr>
              <w:t>5</w:t>
            </w:r>
          </w:p>
        </w:tc>
        <w:tc>
          <w:tcPr>
            <w:tcW w:w="2782" w:type="dxa"/>
            <w:vAlign w:val="center"/>
          </w:tcPr>
          <w:p>
            <w:pPr>
              <w:jc w:val="center"/>
              <w:rPr>
                <w:rFonts w:hint="eastAsia"/>
              </w:rPr>
            </w:pPr>
          </w:p>
        </w:tc>
        <w:tc>
          <w:tcPr>
            <w:tcW w:w="1329" w:type="dxa"/>
            <w:vAlign w:val="center"/>
          </w:tcPr>
          <w:p>
            <w:pPr>
              <w:jc w:val="center"/>
              <w:rPr>
                <w:rFonts w:hint="eastAsia"/>
              </w:rPr>
            </w:pPr>
          </w:p>
        </w:tc>
        <w:tc>
          <w:tcPr>
            <w:tcW w:w="2693" w:type="dxa"/>
            <w:vAlign w:val="center"/>
          </w:tcPr>
          <w:p>
            <w:pPr>
              <w:jc w:val="center"/>
              <w:rPr>
                <w:rFonts w:hint="eastAsia"/>
              </w:rPr>
            </w:pPr>
          </w:p>
        </w:tc>
        <w:tc>
          <w:tcPr>
            <w:tcW w:w="1418" w:type="dxa"/>
            <w:vAlign w:val="center"/>
          </w:tcPr>
          <w:p>
            <w:pPr>
              <w:jc w:val="center"/>
              <w:rPr>
                <w:rFonts w:hint="eastAsia"/>
              </w:rPr>
            </w:pPr>
          </w:p>
        </w:tc>
        <w:tc>
          <w:tcPr>
            <w:tcW w:w="1534" w:type="dxa"/>
            <w:vAlign w:val="center"/>
          </w:tcPr>
          <w:p>
            <w:pPr>
              <w:jc w:val="center"/>
              <w:rPr>
                <w:rFonts w:hint="eastAsia"/>
              </w:rPr>
            </w:pPr>
          </w:p>
        </w:tc>
        <w:tc>
          <w:tcPr>
            <w:tcW w:w="1744" w:type="dxa"/>
            <w:vAlign w:val="center"/>
          </w:tcPr>
          <w:p>
            <w:pPr>
              <w:jc w:val="center"/>
              <w:rPr>
                <w:rFonts w:hint="eastAsia"/>
              </w:rPr>
            </w:pPr>
          </w:p>
        </w:tc>
        <w:tc>
          <w:tcPr>
            <w:tcW w:w="1744" w:type="dxa"/>
            <w:vAlign w:val="center"/>
          </w:tcPr>
          <w:p>
            <w:pPr>
              <w:jc w:val="center"/>
              <w:rPr>
                <w:rFonts w:hint="eastAsia"/>
              </w:rPr>
            </w:pPr>
          </w:p>
        </w:tc>
      </w:tr>
    </w:tbl>
    <w:p>
      <w:pPr>
        <w:rPr>
          <w:rFonts w:hint="eastAsia" w:ascii="仿宋" w:hAnsi="仿宋" w:eastAsia="仿宋" w:cs="仿宋"/>
          <w:sz w:val="28"/>
          <w:szCs w:val="28"/>
        </w:rPr>
      </w:pPr>
      <w:r>
        <w:rPr>
          <w:rFonts w:hint="eastAsia" w:ascii="仿宋" w:hAnsi="仿宋" w:eastAsia="仿宋" w:cs="仿宋"/>
          <w:sz w:val="28"/>
          <w:szCs w:val="28"/>
        </w:rPr>
        <w:t>备注：问题来源，指存在问题出自市级、区级有关部门或是学校自查发现的问题。</w:t>
      </w:r>
    </w:p>
    <w:p>
      <w:pPr>
        <w:ind w:firstLine="652"/>
        <w:rPr>
          <w:rFonts w:hint="eastAsia" w:ascii="仿宋" w:hAnsi="仿宋" w:eastAsia="仿宋" w:cs="仿宋"/>
          <w:sz w:val="28"/>
          <w:szCs w:val="28"/>
        </w:rPr>
        <w:sectPr>
          <w:pgSz w:w="16838" w:h="11906" w:orient="landscape"/>
          <w:pgMar w:top="1800" w:right="1440" w:bottom="1800" w:left="1440" w:header="851" w:footer="992" w:gutter="0"/>
          <w:pgNumType w:fmt="decimal"/>
          <w:cols w:space="425" w:num="1"/>
          <w:docGrid w:type="lines" w:linePitch="312" w:charSpace="0"/>
        </w:sectPr>
      </w:pPr>
    </w:p>
    <w:p>
      <w:pPr>
        <w:ind w:firstLine="652"/>
        <w:rPr>
          <w:rFonts w:hint="eastAsia" w:ascii="仿宋" w:hAnsi="仿宋" w:eastAsia="仿宋"/>
          <w:sz w:val="32"/>
          <w:szCs w:val="32"/>
        </w:rPr>
      </w:pPr>
    </w:p>
    <w:p>
      <w:pPr>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3840" w:firstLineChars="1200"/>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3840" w:firstLineChars="1200"/>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3840" w:firstLineChars="1200"/>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3840" w:firstLineChars="1200"/>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3840" w:firstLineChars="1200"/>
        <w:textAlignment w:val="auto"/>
        <w:rPr>
          <w:rFonts w:ascii="仿宋" w:hAnsi="仿宋" w:eastAsia="仿宋"/>
          <w:sz w:val="32"/>
          <w:szCs w:val="32"/>
        </w:rPr>
      </w:pPr>
      <w:bookmarkStart w:id="1" w:name="_GoBack"/>
      <w:bookmarkEnd w:id="1"/>
    </w:p>
    <w:p>
      <w:pPr>
        <w:keepNext w:val="0"/>
        <w:keepLines w:val="0"/>
        <w:pageBreakBefore w:val="0"/>
        <w:widowControl w:val="0"/>
        <w:kinsoku/>
        <w:wordWrap/>
        <w:overflowPunct/>
        <w:topLinePunct w:val="0"/>
        <w:autoSpaceDE/>
        <w:autoSpaceDN/>
        <w:bidi w:val="0"/>
        <w:adjustRightInd/>
        <w:snapToGrid/>
        <w:spacing w:line="560" w:lineRule="exact"/>
        <w:ind w:firstLine="3840" w:firstLineChars="1200"/>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3840" w:firstLineChars="1200"/>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3840" w:firstLineChars="1200"/>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3840" w:firstLineChars="1200"/>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3840" w:firstLineChars="1200"/>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3840" w:firstLineChars="1200"/>
        <w:textAlignment w:val="auto"/>
        <w:rPr>
          <w:rFonts w:ascii="仿宋" w:hAnsi="仿宋" w:eastAsia="仿宋"/>
          <w:sz w:val="32"/>
          <w:szCs w:val="32"/>
        </w:rPr>
      </w:pPr>
    </w:p>
    <w:tbl>
      <w:tblPr>
        <w:tblStyle w:val="5"/>
        <w:tblpPr w:leftFromText="180" w:rightFromText="180" w:vertAnchor="text" w:horzAnchor="page" w:tblpX="1709" w:tblpY="5676"/>
        <w:tblOverlap w:val="never"/>
        <w:tblW w:w="0" w:type="auto"/>
        <w:tblInd w:w="0" w:type="dxa"/>
        <w:tblBorders>
          <w:top w:val="single" w:color="auto" w:sz="6" w:space="0"/>
          <w:left w:val="none" w:color="auto" w:sz="0" w:space="0"/>
          <w:bottom w:val="single" w:color="auto" w:sz="6"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8946"/>
      </w:tblGrid>
      <w:tr>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8946" w:type="dxa"/>
            <w:noWrap w:val="0"/>
            <w:vAlign w:val="center"/>
          </w:tcPr>
          <w:p>
            <w:pPr>
              <w:rPr>
                <w:rFonts w:hint="eastAsia" w:ascii="仿宋" w:hAnsi="仿宋" w:eastAsia="仿宋" w:cs="仿宋"/>
                <w:sz w:val="28"/>
                <w:szCs w:val="28"/>
              </w:rPr>
            </w:pPr>
            <w:r>
              <w:rPr>
                <w:rFonts w:hint="eastAsia" w:ascii="仿宋" w:hAnsi="仿宋" w:eastAsia="仿宋" w:cs="仿宋"/>
                <w:sz w:val="28"/>
                <w:szCs w:val="28"/>
              </w:rPr>
              <w:t>陕西石油普通教育管理移交中心</w:t>
            </w:r>
            <w:r>
              <w:rPr>
                <w:rFonts w:hint="eastAsia" w:ascii="仿宋" w:hAnsi="仿宋" w:eastAsia="仿宋" w:cs="仿宋"/>
                <w:sz w:val="28"/>
                <w:szCs w:val="28"/>
                <w:lang w:val="en-US" w:eastAsia="zh-CN"/>
              </w:rPr>
              <w:t>行政事务部</w:t>
            </w: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20</w:t>
            </w:r>
            <w:r>
              <w:rPr>
                <w:rFonts w:hint="eastAsia" w:ascii="仿宋" w:hAnsi="仿宋" w:eastAsia="仿宋" w:cs="仿宋"/>
                <w:sz w:val="28"/>
                <w:szCs w:val="28"/>
                <w:lang w:val="en-US" w:eastAsia="zh-CN"/>
              </w:rPr>
              <w:t>24</w:t>
            </w:r>
            <w:r>
              <w:rPr>
                <w:rFonts w:hint="eastAsia" w:ascii="仿宋" w:hAnsi="仿宋" w:eastAsia="仿宋" w:cs="仿宋"/>
                <w:sz w:val="28"/>
                <w:szCs w:val="28"/>
              </w:rPr>
              <w:t>年</w:t>
            </w:r>
            <w:r>
              <w:rPr>
                <w:rFonts w:hint="eastAsia" w:ascii="仿宋" w:hAnsi="仿宋" w:eastAsia="仿宋" w:cs="仿宋"/>
                <w:sz w:val="28"/>
                <w:szCs w:val="28"/>
                <w:lang w:val="en-US" w:eastAsia="zh-CN"/>
              </w:rPr>
              <w:t>5</w:t>
            </w:r>
            <w:r>
              <w:rPr>
                <w:rFonts w:hint="eastAsia" w:ascii="仿宋" w:hAnsi="仿宋" w:eastAsia="仿宋" w:cs="仿宋"/>
                <w:sz w:val="28"/>
                <w:szCs w:val="28"/>
              </w:rPr>
              <w:t>月</w:t>
            </w:r>
            <w:r>
              <w:rPr>
                <w:rFonts w:hint="eastAsia" w:ascii="仿宋" w:hAnsi="仿宋" w:eastAsia="仿宋" w:cs="仿宋"/>
                <w:sz w:val="28"/>
                <w:szCs w:val="28"/>
                <w:lang w:val="en-US" w:eastAsia="zh-CN"/>
              </w:rPr>
              <w:t>10</w:t>
            </w:r>
            <w:r>
              <w:rPr>
                <w:rFonts w:hint="eastAsia" w:ascii="仿宋" w:hAnsi="仿宋" w:eastAsia="仿宋" w:cs="仿宋"/>
                <w:sz w:val="28"/>
                <w:szCs w:val="28"/>
              </w:rPr>
              <w:t>日印发</w:t>
            </w:r>
          </w:p>
        </w:tc>
      </w:tr>
    </w:tbl>
    <w:p>
      <w:pPr>
        <w:keepNext w:val="0"/>
        <w:keepLines w:val="0"/>
        <w:pageBreakBefore w:val="0"/>
        <w:widowControl w:val="0"/>
        <w:kinsoku/>
        <w:wordWrap/>
        <w:overflowPunct/>
        <w:topLinePunct w:val="0"/>
        <w:autoSpaceDE/>
        <w:autoSpaceDN/>
        <w:bidi w:val="0"/>
        <w:adjustRightInd/>
        <w:snapToGrid/>
        <w:spacing w:line="560" w:lineRule="exact"/>
        <w:ind w:firstLine="3840" w:firstLineChars="1200"/>
        <w:textAlignment w:val="auto"/>
        <w:rPr>
          <w:rFonts w:ascii="仿宋" w:hAnsi="仿宋" w:eastAsia="仿宋"/>
          <w:sz w:val="32"/>
          <w:szCs w:val="32"/>
        </w:rPr>
      </w:pPr>
    </w:p>
    <w:sectPr>
      <w:footerReference r:id="rId5"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swiss"/>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264071F-0862-49F1-A2BD-15DE410E50E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65BF0ABD-081B-405B-899A-57F227849C33}"/>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embedRegular r:id="rId3" w:fontKey="{C694E79F-66A0-46D1-BB80-492B5054D342}"/>
  </w:font>
  <w:font w:name="楷体">
    <w:panose1 w:val="02010609060101010101"/>
    <w:charset w:val="86"/>
    <w:family w:val="modern"/>
    <w:pitch w:val="default"/>
    <w:sig w:usb0="800002BF" w:usb1="38CF7CFA" w:usb2="00000016" w:usb3="00000000" w:csb0="00040001" w:csb1="00000000"/>
    <w:embedRegular r:id="rId4" w:fontKey="{B6904E00-CC54-4803-BAF6-CA62B4CBEF9F}"/>
  </w:font>
  <w:font w:name="方正小标宋简体">
    <w:panose1 w:val="02000000000000000000"/>
    <w:charset w:val="86"/>
    <w:family w:val="auto"/>
    <w:pitch w:val="default"/>
    <w:sig w:usb0="00000001" w:usb1="08000000" w:usb2="00000000" w:usb3="00000000" w:csb0="00040000" w:csb1="00000000"/>
    <w:embedRegular r:id="rId5" w:fontKey="{66FA4605-9314-4E9A-B498-59DE2AE822F7}"/>
  </w:font>
  <w:font w:name="仿宋_GB2312">
    <w:altName w:val="仿宋"/>
    <w:panose1 w:val="02010609030101010101"/>
    <w:charset w:val="86"/>
    <w:family w:val="modern"/>
    <w:pitch w:val="default"/>
    <w:sig w:usb0="00000000" w:usb1="00000000" w:usb2="00000000" w:usb3="00000000" w:csb0="00040000" w:csb1="00000000"/>
  </w:font>
  <w:font w:name="晋轩体">
    <w:panose1 w:val="02010600010101010101"/>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clear" w:pos="4153"/>
      </w:tabs>
    </w:pP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clear" w:pos="4153"/>
      </w:tabs>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lang w:eastAsia="zh-CN"/>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clear" w:pos="4153"/>
      </w:tabs>
    </w:pPr>
    <w:r>
      <w:rPr>
        <w:rFonts w:hint="eastAsia"/>
        <w:lang w:eastAsia="zh-CN"/>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ViMTFiMDgyNDBkYWUyMTQ1YjU4YTUzMTVlOWE2YjUifQ=="/>
  </w:docVars>
  <w:rsids>
    <w:rsidRoot w:val="004E2CB7"/>
    <w:rsid w:val="000271A3"/>
    <w:rsid w:val="000302BF"/>
    <w:rsid w:val="00091C00"/>
    <w:rsid w:val="00145670"/>
    <w:rsid w:val="00176851"/>
    <w:rsid w:val="00192601"/>
    <w:rsid w:val="001D6993"/>
    <w:rsid w:val="002370EF"/>
    <w:rsid w:val="002466D0"/>
    <w:rsid w:val="002F1EAF"/>
    <w:rsid w:val="002F7AF0"/>
    <w:rsid w:val="0033408E"/>
    <w:rsid w:val="003458DF"/>
    <w:rsid w:val="00345A37"/>
    <w:rsid w:val="0046276E"/>
    <w:rsid w:val="004B5785"/>
    <w:rsid w:val="004E2CB7"/>
    <w:rsid w:val="00524E7C"/>
    <w:rsid w:val="00674801"/>
    <w:rsid w:val="006D31E9"/>
    <w:rsid w:val="006E6DB4"/>
    <w:rsid w:val="00724FA5"/>
    <w:rsid w:val="007304C3"/>
    <w:rsid w:val="007545C4"/>
    <w:rsid w:val="00827489"/>
    <w:rsid w:val="008C28FE"/>
    <w:rsid w:val="008C7DF2"/>
    <w:rsid w:val="00A15E43"/>
    <w:rsid w:val="00A42A94"/>
    <w:rsid w:val="00A77067"/>
    <w:rsid w:val="00D143C0"/>
    <w:rsid w:val="00D24FC0"/>
    <w:rsid w:val="00D46F00"/>
    <w:rsid w:val="00DD0282"/>
    <w:rsid w:val="00E47E41"/>
    <w:rsid w:val="00FC506F"/>
    <w:rsid w:val="2E2C18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1"/>
    <w:autoRedefine/>
    <w:semiHidden/>
    <w:unhideWhenUsed/>
    <w:qFormat/>
    <w:uiPriority w:val="99"/>
    <w:pPr>
      <w:ind w:left="100" w:leftChars="2500"/>
    </w:pPr>
  </w:style>
  <w:style w:type="paragraph" w:styleId="3">
    <w:name w:val="footer"/>
    <w:basedOn w:val="1"/>
    <w:link w:val="10"/>
    <w:autoRedefine/>
    <w:unhideWhenUsed/>
    <w:qFormat/>
    <w:uiPriority w:val="99"/>
    <w:pPr>
      <w:tabs>
        <w:tab w:val="center" w:pos="4153"/>
        <w:tab w:val="right" w:pos="8306"/>
      </w:tabs>
      <w:snapToGrid w:val="0"/>
      <w:jc w:val="left"/>
    </w:pPr>
    <w:rPr>
      <w:sz w:val="18"/>
      <w:szCs w:val="18"/>
    </w:rPr>
  </w:style>
  <w:style w:type="paragraph" w:styleId="4">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List Paragraph"/>
    <w:basedOn w:val="1"/>
    <w:qFormat/>
    <w:uiPriority w:val="34"/>
    <w:pPr>
      <w:ind w:firstLine="420" w:firstLineChars="200"/>
    </w:pPr>
  </w:style>
  <w:style w:type="character" w:customStyle="1" w:styleId="9">
    <w:name w:val="页眉 字符"/>
    <w:basedOn w:val="7"/>
    <w:link w:val="4"/>
    <w:autoRedefine/>
    <w:qFormat/>
    <w:uiPriority w:val="99"/>
    <w:rPr>
      <w:sz w:val="18"/>
      <w:szCs w:val="18"/>
    </w:rPr>
  </w:style>
  <w:style w:type="character" w:customStyle="1" w:styleId="10">
    <w:name w:val="页脚 字符"/>
    <w:basedOn w:val="7"/>
    <w:link w:val="3"/>
    <w:autoRedefine/>
    <w:qFormat/>
    <w:uiPriority w:val="99"/>
    <w:rPr>
      <w:sz w:val="18"/>
      <w:szCs w:val="18"/>
    </w:rPr>
  </w:style>
  <w:style w:type="character" w:customStyle="1" w:styleId="11">
    <w:name w:val="日期 字符"/>
    <w:basedOn w:val="7"/>
    <w:link w:val="2"/>
    <w:autoRedefine/>
    <w:semiHidden/>
    <w:qFormat/>
    <w:uiPriority w:val="99"/>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276</Words>
  <Characters>1579</Characters>
  <Lines>13</Lines>
  <Paragraphs>3</Paragraphs>
  <TotalTime>33</TotalTime>
  <ScaleCrop>false</ScaleCrop>
  <LinksUpToDate>false</LinksUpToDate>
  <CharactersWithSpaces>1852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2024-04-29T07:08:00Z</dcterms:created>
  <dc:creator>wwq</dc:creator>
  <cp:lastModifiedBy>zhengt</cp:lastModifiedBy>
  <cp:lastPrinted>2024-05-10T02:16:49Z</cp:lastPrinted>
  <dcterms:modified xsi:type="dcterms:W3CDTF">2024-05-10T02:26:54Z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A75EAA40BA244B1E9F759AF650C690E3_12</vt:lpwstr>
  </property>
</Properties>
</file>