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方正小标宋简体" w:hAnsi="方正小标宋简体" w:eastAsia="方正小标宋简体" w:cs="方正小标宋简体"/>
          <w:sz w:val="44"/>
          <w:szCs w:val="44"/>
          <w:lang w:val="en-US" w:eastAsia="zh-CN"/>
        </w:rPr>
      </w:pPr>
    </w:p>
    <w:p>
      <w:pPr>
        <w:rPr>
          <w:rFonts w:hint="default" w:ascii="方正小标宋简体" w:hAnsi="方正小标宋简体" w:eastAsia="方正小标宋简体" w:cs="方正小标宋简体"/>
          <w:sz w:val="44"/>
          <w:szCs w:val="44"/>
          <w:lang w:val="en-US" w:eastAsia="zh-CN"/>
        </w:rPr>
      </w:pPr>
    </w:p>
    <w:p>
      <w:pPr>
        <w:rPr>
          <w:rFonts w:hint="default" w:ascii="方正小标宋简体" w:hAnsi="方正小标宋简体" w:eastAsia="方正小标宋简体" w:cs="方正小标宋简体"/>
          <w:sz w:val="44"/>
          <w:szCs w:val="44"/>
          <w:lang w:val="en-US" w:eastAsia="zh-CN"/>
        </w:rPr>
      </w:pPr>
    </w:p>
    <w:p>
      <w:pPr>
        <w:rPr>
          <w:rFonts w:hint="default" w:ascii="方正小标宋简体" w:hAnsi="方正小标宋简体" w:eastAsia="方正小标宋简体" w:cs="方正小标宋简体"/>
          <w:sz w:val="44"/>
          <w:szCs w:val="44"/>
          <w:lang w:val="en-US" w:eastAsia="zh-CN"/>
        </w:rPr>
      </w:pPr>
    </w:p>
    <w:p>
      <w:pPr>
        <w:pStyle w:val="2"/>
        <w:spacing w:line="259" w:lineRule="auto"/>
      </w:pPr>
    </w:p>
    <w:p>
      <w:pPr>
        <w:pStyle w:val="2"/>
        <w:spacing w:line="259" w:lineRule="auto"/>
      </w:pPr>
    </w:p>
    <w:p>
      <w:pPr>
        <w:pStyle w:val="2"/>
        <w:spacing w:line="259" w:lineRule="auto"/>
      </w:pPr>
    </w:p>
    <w:p>
      <w:pPr>
        <w:pStyle w:val="2"/>
        <w:spacing w:line="259" w:lineRule="auto"/>
      </w:pPr>
    </w:p>
    <w:p>
      <w:pPr>
        <w:pStyle w:val="2"/>
        <w:spacing w:line="276" w:lineRule="auto"/>
      </w:pPr>
    </w:p>
    <w:p>
      <w:pPr>
        <w:pStyle w:val="2"/>
        <w:spacing w:line="276" w:lineRule="auto"/>
      </w:pPr>
    </w:p>
    <w:p>
      <w:pPr>
        <w:pStyle w:val="2"/>
        <w:spacing w:line="277" w:lineRule="auto"/>
      </w:pPr>
    </w:p>
    <w:p>
      <w:pPr>
        <w:pStyle w:val="2"/>
        <w:spacing w:line="277" w:lineRule="auto"/>
      </w:pPr>
    </w:p>
    <w:p>
      <w:pPr>
        <w:spacing w:before="101" w:line="223" w:lineRule="auto"/>
        <w:ind w:left="2741"/>
        <w:jc w:val="both"/>
        <w:rPr>
          <w:rFonts w:hint="default" w:ascii="仿宋" w:hAnsi="仿宋" w:eastAsia="仿宋" w:cs="仿宋"/>
          <w:sz w:val="31"/>
          <w:szCs w:val="31"/>
          <w:lang w:val="en-US"/>
        </w:rPr>
      </w:pPr>
      <w:r>
        <w:rPr>
          <w:rFonts w:hint="eastAsia" w:ascii="仿宋" w:hAnsi="仿宋" w:eastAsia="仿宋" w:cs="仿宋"/>
          <w:spacing w:val="4"/>
          <w:sz w:val="31"/>
          <w:szCs w:val="31"/>
          <w:lang w:val="en-US" w:eastAsia="zh-CN"/>
        </w:rPr>
        <w:t>陕油教字</w:t>
      </w:r>
      <w:r>
        <w:rPr>
          <w:rFonts w:ascii="仿宋" w:hAnsi="仿宋" w:eastAsia="仿宋" w:cs="仿宋"/>
          <w:spacing w:val="4"/>
          <w:sz w:val="31"/>
          <w:szCs w:val="31"/>
        </w:rPr>
        <w:t>〔</w:t>
      </w:r>
      <w:r>
        <w:rPr>
          <w:rFonts w:ascii="Times New Roman" w:hAnsi="Times New Roman" w:eastAsia="Times New Roman" w:cs="Times New Roman"/>
          <w:spacing w:val="4"/>
          <w:sz w:val="31"/>
          <w:szCs w:val="31"/>
        </w:rPr>
        <w:t>2024</w:t>
      </w:r>
      <w:r>
        <w:rPr>
          <w:rFonts w:ascii="仿宋" w:hAnsi="仿宋" w:eastAsia="仿宋" w:cs="仿宋"/>
          <w:spacing w:val="4"/>
          <w:sz w:val="31"/>
          <w:szCs w:val="31"/>
        </w:rPr>
        <w:t>〕</w:t>
      </w:r>
      <w:r>
        <w:rPr>
          <w:rFonts w:hint="eastAsia" w:ascii="仿宋" w:hAnsi="仿宋" w:eastAsia="仿宋" w:cs="仿宋"/>
          <w:spacing w:val="4"/>
          <w:sz w:val="31"/>
          <w:szCs w:val="31"/>
          <w:lang w:val="en-US" w:eastAsia="zh-CN"/>
        </w:rPr>
        <w:t>2 号</w:t>
      </w:r>
    </w:p>
    <w:p>
      <w:pPr>
        <w:spacing w:before="177" w:line="29" w:lineRule="exact"/>
        <w:jc w:val="both"/>
        <w:rPr>
          <w:rFonts w:ascii="宋体" w:hAnsi="宋体" w:eastAsia="宋体" w:cs="宋体"/>
          <w:sz w:val="43"/>
          <w:szCs w:val="43"/>
        </w:rPr>
      </w:pPr>
    </w:p>
    <w:p>
      <w:pPr>
        <w:spacing w:before="235" w:line="220" w:lineRule="auto"/>
        <w:ind w:left="1537"/>
        <w:rPr>
          <w:rFonts w:ascii="宋体" w:hAnsi="宋体" w:eastAsia="宋体" w:cs="宋体"/>
          <w:spacing w:val="-1"/>
          <w:sz w:val="43"/>
          <w:szCs w:val="43"/>
          <w14:textOutline w14:w="6350" w14:cap="flat" w14:cmpd="sng">
            <w14:solidFill>
              <w14:srgbClr w14:val="000000"/>
            </w14:solidFill>
            <w14:prstDash w14:val="solid"/>
            <w14:miter w14:val="0"/>
          </w14:textOutline>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陕西石油普通教育管理移交中心关于做好2024年春节寒假期间有关工作的通知</w:t>
      </w:r>
    </w:p>
    <w:p>
      <w:pPr>
        <w:keepNext w:val="0"/>
        <w:keepLines w:val="0"/>
        <w:pageBreakBefore w:val="0"/>
        <w:widowControl/>
        <w:kinsoku w:val="0"/>
        <w:wordWrap/>
        <w:overflowPunct/>
        <w:topLinePunct w:val="0"/>
        <w:autoSpaceDE w:val="0"/>
        <w:autoSpaceDN w:val="0"/>
        <w:bidi w:val="0"/>
        <w:adjustRightInd w:val="0"/>
        <w:snapToGrid w:val="0"/>
        <w:spacing w:line="580" w:lineRule="exact"/>
        <w:jc w:val="both"/>
        <w:textAlignment w:val="baseline"/>
        <w:rPr>
          <w:rFonts w:hint="eastAsia" w:ascii="仿宋" w:hAnsi="仿宋" w:eastAsia="仿宋" w:cs="仿宋"/>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80" w:lineRule="exact"/>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中心机关各部门，各中小学：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春节、寒假将至，为深入贯彻落实党的二十大和习近平总书记历次来陕考察重要讲话重要指示精神，扎实做好节日期间各项工作，确保师生度过欢乐祥和、风清气正的节日。按照委厅有关通知要求，现就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一、加强关心关爱，做好困难师生走访慰问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学校要扎实细致开展走访慰问、关爱帮扶等活动，重点看望帮扶伤残教师、生活困难师生及干部职工、离退休教职工等。做好留守儿童、进城务工人员子女、残疾学生、家庭经济困难学生等关心关爱工作，加大临时救助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rPr>
        <w:t>二、严格安全管理，确保教育系统稳定安全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各学校要强化底线思维、安全意识，周密做好假期校园安全工作。夯实稳定安全工作责任，严格落实“党政同责</w:t>
      </w:r>
      <w:r>
        <w:rPr>
          <w:rFonts w:hint="eastAsia" w:ascii="仿宋" w:hAnsi="仿宋" w:eastAsia="仿宋" w:cs="仿宋"/>
          <w:sz w:val="32"/>
          <w:szCs w:val="32"/>
          <w:lang w:eastAsia="zh-CN"/>
        </w:rPr>
        <w:t>、</w:t>
      </w:r>
      <w:r>
        <w:rPr>
          <w:rFonts w:hint="eastAsia" w:ascii="仿宋" w:hAnsi="仿宋" w:eastAsia="仿宋" w:cs="仿宋"/>
          <w:sz w:val="32"/>
          <w:szCs w:val="32"/>
        </w:rPr>
        <w:t>一岗双责、齐抓共管、失职追责”和“</w:t>
      </w:r>
      <w:r>
        <w:rPr>
          <w:rFonts w:hint="eastAsia" w:ascii="仿宋" w:hAnsi="仿宋" w:eastAsia="仿宋" w:cs="仿宋"/>
          <w:sz w:val="32"/>
          <w:szCs w:val="32"/>
          <w:lang w:eastAsia="zh-CN"/>
        </w:rPr>
        <w:t>安全第一责任人制度</w:t>
      </w:r>
      <w:r>
        <w:rPr>
          <w:rFonts w:hint="eastAsia" w:ascii="仿宋" w:hAnsi="仿宋" w:eastAsia="仿宋" w:cs="仿宋"/>
          <w:sz w:val="32"/>
          <w:szCs w:val="32"/>
        </w:rPr>
        <w:t>”要求，从严从实抓好校园安全各项工作，切实做好防范化解重大风险工作，确保春节寒假期间</w:t>
      </w:r>
      <w:r>
        <w:rPr>
          <w:rFonts w:hint="eastAsia" w:ascii="仿宋" w:hAnsi="仿宋" w:eastAsia="仿宋" w:cs="仿宋"/>
          <w:sz w:val="32"/>
          <w:szCs w:val="32"/>
          <w:lang w:eastAsia="zh-CN"/>
        </w:rPr>
        <w:t>中心</w:t>
      </w:r>
      <w:r>
        <w:rPr>
          <w:rFonts w:hint="eastAsia" w:ascii="仿宋" w:hAnsi="仿宋" w:eastAsia="仿宋" w:cs="仿宋"/>
          <w:sz w:val="32"/>
          <w:szCs w:val="32"/>
        </w:rPr>
        <w:t>各学校的正常秩序，维护大局稳定。扎实做好学校食品安全管理工作，有效防控新冠、流感等呼吸道传染病。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做好寒假留校学生安全管理工作，对留校学生实行逐一登记、集中住宿、统一管理，严格落实校园和宿舍门禁制度，加强校园治安巡逻</w:t>
      </w:r>
      <w:r>
        <w:rPr>
          <w:rFonts w:hint="eastAsia" w:ascii="仿宋" w:hAnsi="仿宋" w:eastAsia="仿宋" w:cs="仿宋"/>
          <w:sz w:val="32"/>
          <w:szCs w:val="32"/>
          <w:lang w:eastAsia="zh-CN"/>
        </w:rPr>
        <w:t>，</w:t>
      </w:r>
      <w:r>
        <w:rPr>
          <w:rFonts w:hint="eastAsia" w:ascii="仿宋" w:hAnsi="仿宋" w:eastAsia="仿宋" w:cs="仿宋"/>
          <w:sz w:val="32"/>
          <w:szCs w:val="32"/>
        </w:rPr>
        <w:t>严防社会闲杂人员进入校园滋事破坏，杜绝校园伤害案件发生。扎实开展开学前安全大检查，确保对学生宿舍</w:t>
      </w:r>
      <w:r>
        <w:rPr>
          <w:rFonts w:hint="eastAsia" w:ascii="仿宋" w:hAnsi="仿宋" w:eastAsia="仿宋" w:cs="仿宋"/>
          <w:sz w:val="32"/>
          <w:szCs w:val="32"/>
          <w:lang w:eastAsia="zh-CN"/>
        </w:rPr>
        <w:t>、</w:t>
      </w:r>
      <w:r>
        <w:rPr>
          <w:rFonts w:hint="eastAsia" w:ascii="仿宋" w:hAnsi="仿宋" w:eastAsia="仿宋" w:cs="仿宋"/>
          <w:sz w:val="32"/>
          <w:szCs w:val="32"/>
        </w:rPr>
        <w:t>食堂、教室、图书馆、实验室、锅炉房、配电室等重点区域和人员密集场所，对校舍、特种设备、危险化学品等重点领域全覆盖，及时消除安全隐患。</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三、强化教育引导，</w:t>
      </w:r>
      <w:r>
        <w:rPr>
          <w:rFonts w:hint="eastAsia" w:ascii="黑体" w:hAnsi="黑体" w:eastAsia="黑体" w:cs="黑体"/>
          <w:b w:val="0"/>
          <w:bCs w:val="0"/>
          <w:sz w:val="32"/>
          <w:szCs w:val="32"/>
          <w:u w:val="none"/>
          <w:lang w:val="en-US" w:eastAsia="zh-CN"/>
        </w:rPr>
        <w:t>提高</w:t>
      </w:r>
      <w:r>
        <w:rPr>
          <w:rFonts w:hint="eastAsia" w:ascii="黑体" w:hAnsi="黑体" w:eastAsia="黑体" w:cs="黑体"/>
          <w:b w:val="0"/>
          <w:bCs w:val="0"/>
          <w:sz w:val="32"/>
          <w:szCs w:val="32"/>
          <w:lang w:val="en-US" w:eastAsia="zh-CN"/>
        </w:rPr>
        <w:t>师生安全防护意识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各学校要加强假期师生安全教育，结合学生集中离校返校前后等关键节点，积极开展防交通事故、防电信网络诈骗、防传销、防火、防触电、防滑冰溺水、防自然灾害、防煤气中毒和食物中毒等方面的安全知识教育，增强师生安全</w:t>
      </w:r>
      <w:r>
        <w:rPr>
          <w:rFonts w:hint="eastAsia" w:ascii="仿宋" w:hAnsi="仿宋" w:eastAsia="仿宋" w:cs="仿宋"/>
          <w:sz w:val="32"/>
          <w:szCs w:val="32"/>
          <w:lang w:val="en-US" w:eastAsia="zh-CN"/>
        </w:rPr>
        <w:t>意识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提高逃生避险和自救互救能力。要密切与社区、家庭联系，督促提醒家长切实履行监护责任，家校配合共同保障学生安全。要密切关注师生思想动态，认真开展思想摸排，积极做好教育引导，妥善解决师生群众反映的突出问题。要坚持和发展新时代“枫桥经验”，扎实做好涉校涉师生矛盾调处化解工作，落实属地管理责任和源头治理措施，切实将矛盾风险化解在基层、解决在萌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强化价值引领，丰富师生精神文化生活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春节期间各学校要引导师生利用走亲访友、社会实践、志愿服务等方式深入宣传党的二十大、二十届二中全会和中央经济工作会议精神，不断巩固壮大奋进新时代的主流思想舆论，凝聚起推动经济社会高质量发展的强大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科学安排假期学习生活。寒假期间，各学校要充分发挥家委会作用，围绕德智体美劳五育并举，结合落实义务教育劳动课程标准十个劳动任务群，</w:t>
      </w:r>
      <w:r>
        <w:rPr>
          <w:rFonts w:hint="eastAsia" w:ascii="仿宋" w:hAnsi="仿宋" w:eastAsia="仿宋" w:cs="仿宋"/>
          <w:sz w:val="32"/>
          <w:szCs w:val="32"/>
          <w:lang w:eastAsia="zh-CN"/>
        </w:rPr>
        <w:t>制</w:t>
      </w:r>
      <w:r>
        <w:rPr>
          <w:rFonts w:hint="eastAsia" w:ascii="仿宋" w:hAnsi="仿宋" w:eastAsia="仿宋" w:cs="仿宋"/>
          <w:sz w:val="32"/>
          <w:szCs w:val="32"/>
        </w:rPr>
        <w:t>定家庭劳动清单，布置形式多样的综合实践活动。鼓励并指导学生参加社会调查、社区服务、公益劳动、环保</w:t>
      </w:r>
      <w:bookmarkStart w:id="0" w:name="_GoBack"/>
      <w:bookmarkEnd w:id="0"/>
      <w:r>
        <w:rPr>
          <w:rFonts w:hint="eastAsia" w:ascii="仿宋" w:hAnsi="仿宋" w:eastAsia="仿宋" w:cs="仿宋"/>
          <w:sz w:val="32"/>
          <w:szCs w:val="32"/>
        </w:rPr>
        <w:t>实践等社会实践和志愿活动，进一步提高学生的社会责任感和实践能力。</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认真落实“双减”工作要求。各学校要进一步规范办学行为和加强师德师风建设，严禁各学校以任何名义组织和要求学生（含毕业年级）寒假集体补课或变相补课，严禁与校外培训机构联合进行有偿补课，严禁为校外机构有偿提供教育教学设施或学生信息；在职教师不得参与任何形式的有偿教育活动。</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w:t>
      </w:r>
      <w:r>
        <w:rPr>
          <w:rFonts w:hint="eastAsia" w:ascii="仿宋" w:hAnsi="仿宋" w:eastAsia="仿宋" w:cs="仿宋"/>
          <w:sz w:val="32"/>
          <w:szCs w:val="32"/>
        </w:rPr>
        <w:t>各学校要分年级统筹各学科寒假作业，严格控制作业总量，提高作业质量，积极探索布置跨学科综合性、多样性和实践性的作业；放假前通过家长会、告家长书等形式指导家长发挥传统节日的涵育功能，抓住时机积极开展中华传</w:t>
      </w:r>
      <w:r>
        <w:rPr>
          <w:rFonts w:hint="eastAsia" w:ascii="仿宋" w:hAnsi="仿宋" w:eastAsia="仿宋" w:cs="仿宋"/>
          <w:sz w:val="32"/>
          <w:szCs w:val="32"/>
          <w:lang w:eastAsia="zh-CN"/>
        </w:rPr>
        <w:t>统文化和爱国主义教育，引导学生自觉抵制网络不良信息</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防止沉迷网络，做好假期学生心理健康、近视防控、体育锻炼等管理，帮助学生养成良好的学习、卫生和健康习惯。</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sz w:val="32"/>
          <w:szCs w:val="32"/>
          <w:lang w:eastAsia="zh-CN"/>
        </w:rPr>
      </w:pPr>
      <w:r>
        <w:rPr>
          <w:rFonts w:hint="eastAsia" w:ascii="黑体" w:hAnsi="黑体" w:eastAsia="黑体" w:cs="黑体"/>
          <w:sz w:val="32"/>
          <w:szCs w:val="32"/>
          <w:lang w:eastAsia="zh-CN"/>
        </w:rPr>
        <w:t>五、严守廉洁纪律，坚持勤俭文明过节</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spacing w:val="8"/>
          <w:sz w:val="32"/>
          <w:szCs w:val="32"/>
        </w:rPr>
      </w:pPr>
      <w:r>
        <w:rPr>
          <w:rFonts w:hint="eastAsia" w:ascii="仿宋" w:hAnsi="仿宋" w:eastAsia="仿宋" w:cs="仿宋"/>
          <w:sz w:val="32"/>
          <w:szCs w:val="32"/>
          <w:lang w:val="en-US" w:eastAsia="zh-CN"/>
        </w:rPr>
        <w:t>各</w:t>
      </w:r>
      <w:r>
        <w:rPr>
          <w:rFonts w:hint="eastAsia" w:ascii="仿宋" w:hAnsi="仿宋" w:eastAsia="仿宋" w:cs="仿宋"/>
          <w:sz w:val="32"/>
          <w:szCs w:val="32"/>
          <w:lang w:eastAsia="zh-CN"/>
        </w:rPr>
        <w:t>学校要严格落实中央八项规定及其实施细则，把培树新风正气同传承节日文化结</w:t>
      </w:r>
      <w:r>
        <w:rPr>
          <w:rFonts w:ascii="仿宋" w:hAnsi="仿宋" w:eastAsia="仿宋" w:cs="仿宋"/>
          <w:spacing w:val="3"/>
          <w:sz w:val="31"/>
          <w:szCs w:val="31"/>
        </w:rPr>
        <w:t>合起来，严防节日期间</w:t>
      </w:r>
      <w:r>
        <w:rPr>
          <w:rFonts w:ascii="Times New Roman" w:hAnsi="Times New Roman" w:eastAsia="Times New Roman" w:cs="Times New Roman"/>
          <w:spacing w:val="3"/>
          <w:sz w:val="31"/>
          <w:szCs w:val="31"/>
        </w:rPr>
        <w:t>“</w:t>
      </w:r>
      <w:r>
        <w:rPr>
          <w:rFonts w:ascii="Times New Roman" w:hAnsi="Times New Roman" w:eastAsia="Times New Roman" w:cs="Times New Roman"/>
          <w:spacing w:val="-24"/>
          <w:sz w:val="31"/>
          <w:szCs w:val="31"/>
        </w:rPr>
        <w:t xml:space="preserve"> </w:t>
      </w:r>
      <w:r>
        <w:rPr>
          <w:rFonts w:ascii="仿宋" w:hAnsi="仿宋" w:eastAsia="仿宋" w:cs="仿宋"/>
          <w:spacing w:val="3"/>
          <w:sz w:val="31"/>
          <w:szCs w:val="31"/>
        </w:rPr>
        <w:t>四风</w:t>
      </w:r>
      <w:r>
        <w:rPr>
          <w:rFonts w:ascii="Times New Roman" w:hAnsi="Times New Roman" w:eastAsia="Times New Roman" w:cs="Times New Roman"/>
          <w:spacing w:val="3"/>
          <w:sz w:val="31"/>
          <w:szCs w:val="31"/>
        </w:rPr>
        <w:t>”</w:t>
      </w:r>
      <w:r>
        <w:rPr>
          <w:rFonts w:ascii="Times New Roman" w:hAnsi="Times New Roman" w:eastAsia="Times New Roman" w:cs="Times New Roman"/>
          <w:spacing w:val="-27"/>
          <w:sz w:val="31"/>
          <w:szCs w:val="31"/>
        </w:rPr>
        <w:t xml:space="preserve"> </w:t>
      </w:r>
      <w:r>
        <w:rPr>
          <w:rFonts w:ascii="仿宋" w:hAnsi="仿宋" w:eastAsia="仿宋" w:cs="仿宋"/>
          <w:spacing w:val="3"/>
          <w:sz w:val="31"/>
          <w:szCs w:val="31"/>
        </w:rPr>
        <w:t>问题反弹回潮。严肃查处节日</w:t>
      </w:r>
      <w:r>
        <w:rPr>
          <w:rFonts w:ascii="仿宋" w:hAnsi="仿宋" w:eastAsia="仿宋" w:cs="仿宋"/>
          <w:spacing w:val="5"/>
          <w:sz w:val="31"/>
          <w:szCs w:val="31"/>
        </w:rPr>
        <w:t>期间违规吃喝、违规收送礼品礼金、违规发放津贴补贴、违规操办婚丧喜庆和公车私用等问题，严禁违规收受学生及家长礼品礼</w:t>
      </w:r>
      <w:r>
        <w:rPr>
          <w:rFonts w:ascii="仿宋" w:hAnsi="仿宋" w:eastAsia="仿宋" w:cs="仿宋"/>
          <w:spacing w:val="7"/>
          <w:sz w:val="31"/>
          <w:szCs w:val="31"/>
        </w:rPr>
        <w:t>金消费卡。</w:t>
      </w:r>
      <w:r>
        <w:rPr>
          <w:rFonts w:hint="eastAsia" w:ascii="仿宋" w:hAnsi="仿宋" w:eastAsia="仿宋" w:cs="仿宋"/>
          <w:spacing w:val="7"/>
          <w:sz w:val="31"/>
          <w:szCs w:val="31"/>
          <w:lang w:val="en-US" w:eastAsia="zh-CN"/>
        </w:rPr>
        <w:t>中心机关各部门和各学校</w:t>
      </w:r>
      <w:r>
        <w:rPr>
          <w:rFonts w:ascii="仿宋" w:hAnsi="仿宋" w:eastAsia="仿宋" w:cs="仿宋"/>
          <w:spacing w:val="7"/>
          <w:sz w:val="31"/>
          <w:szCs w:val="31"/>
        </w:rPr>
        <w:t>要持续纠治形式主义、官僚主</w:t>
      </w:r>
      <w:r>
        <w:rPr>
          <w:rFonts w:ascii="仿宋" w:hAnsi="仿宋" w:eastAsia="仿宋" w:cs="仿宋"/>
          <w:spacing w:val="6"/>
          <w:sz w:val="31"/>
          <w:szCs w:val="31"/>
        </w:rPr>
        <w:t>义，</w:t>
      </w:r>
      <w:r>
        <w:rPr>
          <w:rFonts w:ascii="仿宋" w:hAnsi="仿宋" w:eastAsia="仿宋" w:cs="仿宋"/>
          <w:spacing w:val="5"/>
          <w:sz w:val="31"/>
          <w:szCs w:val="31"/>
        </w:rPr>
        <w:t>严防文山会海、督查检查调研扎堆、工作过度留痕、任务层层加码、多头重复要材料填表格、</w:t>
      </w:r>
      <w:r>
        <w:rPr>
          <w:rFonts w:ascii="Times New Roman" w:hAnsi="Times New Roman" w:eastAsia="Times New Roman" w:cs="Times New Roman"/>
          <w:spacing w:val="5"/>
          <w:sz w:val="31"/>
          <w:szCs w:val="31"/>
        </w:rPr>
        <w:t>“</w:t>
      </w:r>
      <w:r>
        <w:rPr>
          <w:rFonts w:ascii="仿宋" w:hAnsi="仿宋" w:eastAsia="仿宋" w:cs="仿宋"/>
          <w:spacing w:val="5"/>
          <w:sz w:val="31"/>
          <w:szCs w:val="31"/>
        </w:rPr>
        <w:t>指尖上的形式主义</w:t>
      </w:r>
      <w:r>
        <w:rPr>
          <w:rFonts w:ascii="Times New Roman" w:hAnsi="Times New Roman" w:eastAsia="Times New Roman" w:cs="Times New Roman"/>
          <w:spacing w:val="5"/>
          <w:sz w:val="31"/>
          <w:szCs w:val="31"/>
        </w:rPr>
        <w:t>”</w:t>
      </w:r>
      <w:r>
        <w:rPr>
          <w:rFonts w:ascii="Times New Roman" w:hAnsi="Times New Roman" w:eastAsia="Times New Roman" w:cs="Times New Roman"/>
          <w:spacing w:val="-34"/>
          <w:sz w:val="31"/>
          <w:szCs w:val="31"/>
        </w:rPr>
        <w:t xml:space="preserve"> </w:t>
      </w:r>
      <w:r>
        <w:rPr>
          <w:rFonts w:ascii="仿宋" w:hAnsi="仿宋" w:eastAsia="仿宋" w:cs="仿宋"/>
          <w:spacing w:val="5"/>
          <w:sz w:val="31"/>
          <w:szCs w:val="31"/>
        </w:rPr>
        <w:t>等行为，切实</w:t>
      </w:r>
      <w:r>
        <w:rPr>
          <w:rFonts w:ascii="仿宋" w:hAnsi="仿宋" w:eastAsia="仿宋" w:cs="仿宋"/>
          <w:spacing w:val="7"/>
          <w:sz w:val="31"/>
          <w:szCs w:val="31"/>
        </w:rPr>
        <w:t>减轻基层负担。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六、严格值班值守，做好应急处置准备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各学校要高度重视春节寒假期间值班工作</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严格执行领导带班和24小时专人值班制度，强化值班岗位责任</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严肃值班纪律，及时掌握学校稳定安全动态</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要健全应急协调机制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both"/>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完善细化应急预案，做好应急保障准备。严格落实信息报告制度，遇有突发事件和重要紧急情况第一时间报告当地党委政府和中心并及时有效处置，对涉外</w:t>
      </w:r>
      <w:r>
        <w:rPr>
          <w:rFonts w:hint="eastAsia" w:ascii="仿宋" w:hAnsi="仿宋" w:eastAsia="仿宋" w:cs="仿宋"/>
          <w:sz w:val="32"/>
          <w:szCs w:val="32"/>
          <w:lang w:val="en-US" w:eastAsia="zh-CN"/>
        </w:rPr>
        <w:t>、涉教涉校</w:t>
      </w:r>
      <w:r>
        <w:rPr>
          <w:rFonts w:hint="default" w:ascii="仿宋" w:hAnsi="仿宋" w:eastAsia="仿宋" w:cs="仿宋"/>
          <w:sz w:val="32"/>
          <w:szCs w:val="32"/>
          <w:lang w:val="en-US" w:eastAsia="zh-CN"/>
        </w:rPr>
        <w:t>突发事件和重要情况必须1小时内上报，严禁迟报、漏报、谎报。</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80" w:lineRule="exact"/>
        <w:jc w:val="both"/>
        <w:textAlignment w:val="baseline"/>
        <w:rPr>
          <w:rFonts w:hint="default" w:ascii="仿宋" w:hAnsi="仿宋" w:eastAsia="仿宋" w:cs="仿宋"/>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80" w:lineRule="exact"/>
        <w:ind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陕西石油普通教育管理移交中心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80" w:lineRule="exact"/>
        <w:ind w:firstLine="640" w:firstLineChars="200"/>
        <w:jc w:val="both"/>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2024年1月25日</w:t>
      </w:r>
    </w:p>
    <w:p>
      <w:pPr>
        <w:spacing w:line="560" w:lineRule="exact"/>
        <w:rPr>
          <w:rFonts w:hint="eastAsia" w:ascii="仿宋" w:hAnsi="仿宋" w:eastAsia="仿宋" w:cs="仿宋"/>
          <w:color w:val="000000"/>
          <w:sz w:val="32"/>
          <w:szCs w:val="32"/>
          <w:lang w:eastAsia="zh-CN"/>
        </w:rPr>
        <w:sectPr>
          <w:footerReference r:id="rId5" w:type="default"/>
          <w:pgSz w:w="11906" w:h="16838"/>
          <w:pgMar w:top="1440" w:right="1800" w:bottom="1440" w:left="1800" w:header="851" w:footer="992" w:gutter="0"/>
          <w:pgNumType w:fmt="decimal"/>
          <w:cols w:space="425" w:num="1"/>
          <w:docGrid w:type="lines" w:linePitch="312" w:charSpace="0"/>
        </w:sectPr>
      </w:pPr>
    </w:p>
    <w:p>
      <w:pPr>
        <w:spacing w:line="560" w:lineRule="exact"/>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此页无正文</w:t>
      </w:r>
      <w:r>
        <w:rPr>
          <w:rFonts w:hint="eastAsia" w:ascii="仿宋" w:hAnsi="仿宋" w:eastAsia="仿宋" w:cs="仿宋"/>
          <w:color w:val="000000"/>
          <w:sz w:val="32"/>
          <w:szCs w:val="32"/>
          <w:lang w:eastAsia="zh-CN"/>
        </w:rPr>
        <w:t>）</w:t>
      </w: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spacing w:line="560" w:lineRule="exact"/>
        <w:rPr>
          <w:rFonts w:ascii="仿宋_GB2312" w:cs="Times New Roman"/>
          <w:color w:val="000000"/>
        </w:rPr>
      </w:pPr>
    </w:p>
    <w:p>
      <w:pPr>
        <w:rPr>
          <w:rFonts w:ascii="仿宋_GB2312" w:cs="Times New Roman"/>
          <w:color w:val="000000"/>
        </w:rPr>
      </w:pPr>
    </w:p>
    <w:p>
      <w:pPr>
        <w:rPr>
          <w:rFonts w:ascii="仿宋_GB2312" w:cs="Times New Roman"/>
          <w:color w:val="000000"/>
        </w:rPr>
      </w:pPr>
    </w:p>
    <w:p>
      <w:pPr>
        <w:rPr>
          <w:rFonts w:ascii="仿宋_GB2312" w:cs="Times New Roman"/>
          <w:color w:val="000000"/>
        </w:rPr>
      </w:pPr>
    </w:p>
    <w:p>
      <w:pPr>
        <w:spacing w:line="520" w:lineRule="exact"/>
        <w:rPr>
          <w:rFonts w:hint="eastAsia"/>
        </w:rPr>
      </w:pPr>
    </w:p>
    <w:p>
      <w:pPr>
        <w:spacing w:line="520" w:lineRule="exact"/>
        <w:rPr>
          <w:rFonts w:hint="eastAsia"/>
        </w:rPr>
      </w:pPr>
    </w:p>
    <w:tbl>
      <w:tblPr>
        <w:tblStyle w:val="5"/>
        <w:tblpPr w:leftFromText="180" w:rightFromText="180" w:vertAnchor="text" w:horzAnchor="page" w:tblpX="1436" w:tblpY="1146"/>
        <w:tblOverlap w:val="never"/>
        <w:tblW w:w="0" w:type="auto"/>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8946"/>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8946" w:type="dxa"/>
            <w:noWrap w:val="0"/>
            <w:vAlign w:val="center"/>
          </w:tcPr>
          <w:p>
            <w:pPr>
              <w:rPr>
                <w:rFonts w:hint="eastAsia" w:ascii="仿宋" w:hAnsi="仿宋" w:eastAsia="仿宋" w:cs="仿宋"/>
                <w:sz w:val="28"/>
                <w:szCs w:val="28"/>
              </w:rPr>
            </w:pPr>
            <w:r>
              <w:rPr>
                <w:rFonts w:hint="eastAsia" w:ascii="仿宋" w:hAnsi="仿宋" w:eastAsia="仿宋" w:cs="仿宋"/>
                <w:sz w:val="28"/>
                <w:szCs w:val="28"/>
              </w:rPr>
              <w:t>陕西石油普通教育管理移交中心</w:t>
            </w:r>
            <w:r>
              <w:rPr>
                <w:rFonts w:hint="eastAsia" w:ascii="仿宋" w:hAnsi="仿宋" w:eastAsia="仿宋" w:cs="仿宋"/>
                <w:sz w:val="28"/>
                <w:szCs w:val="28"/>
                <w:lang w:val="en-US" w:eastAsia="zh-CN"/>
              </w:rPr>
              <w:t xml:space="preserve">行政事务部       </w:t>
            </w:r>
            <w:r>
              <w:rPr>
                <w:rFonts w:hint="eastAsia" w:ascii="仿宋" w:hAnsi="仿宋" w:eastAsia="仿宋" w:cs="仿宋"/>
                <w:sz w:val="28"/>
                <w:szCs w:val="28"/>
              </w:rPr>
              <w:t>20</w:t>
            </w:r>
            <w:r>
              <w:rPr>
                <w:rFonts w:hint="eastAsia" w:ascii="仿宋" w:hAnsi="仿宋" w:eastAsia="仿宋" w:cs="仿宋"/>
                <w:sz w:val="28"/>
                <w:szCs w:val="28"/>
                <w:lang w:val="en-US" w:eastAsia="zh-CN"/>
              </w:rPr>
              <w:t>24</w:t>
            </w:r>
            <w:r>
              <w:rPr>
                <w:rFonts w:hint="eastAsia" w:ascii="仿宋" w:hAnsi="仿宋" w:eastAsia="仿宋" w:cs="仿宋"/>
                <w:sz w:val="28"/>
                <w:szCs w:val="28"/>
              </w:rPr>
              <w:t>年</w:t>
            </w:r>
            <w:r>
              <w:rPr>
                <w:rFonts w:hint="eastAsia" w:ascii="仿宋" w:hAnsi="仿宋" w:eastAsia="仿宋" w:cs="仿宋"/>
                <w:sz w:val="28"/>
                <w:szCs w:val="28"/>
                <w:lang w:val="en-US" w:eastAsia="zh-CN"/>
              </w:rPr>
              <w:t>1月25</w:t>
            </w:r>
            <w:r>
              <w:rPr>
                <w:rFonts w:hint="eastAsia" w:ascii="仿宋" w:hAnsi="仿宋" w:eastAsia="仿宋" w:cs="仿宋"/>
                <w:sz w:val="28"/>
                <w:szCs w:val="28"/>
              </w:rPr>
              <w:t>日印发</w:t>
            </w:r>
          </w:p>
        </w:tc>
      </w:tr>
    </w:tbl>
    <w:p>
      <w:pPr>
        <w:spacing w:line="520" w:lineRule="exact"/>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default" w:ascii="仿宋" w:hAnsi="仿宋" w:eastAsia="仿宋" w:cs="仿宋"/>
          <w:sz w:val="32"/>
          <w:szCs w:val="32"/>
          <w:lang w:val="en-US" w:eastAsia="zh-CN"/>
        </w:rPr>
      </w:pP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xOWVhZGIwNWQwNjFkYWIyNWZjZTExZjFlODRiOTMifQ=="/>
  </w:docVars>
  <w:rsids>
    <w:rsidRoot w:val="00000000"/>
    <w:rsid w:val="29FE0065"/>
    <w:rsid w:val="36425CED"/>
    <w:rsid w:val="44F40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2024-01-25T01:58:00Z</dcterms:created>
  <dc:creator>dell</dc:creator>
  <cp:lastModifiedBy>zhengt</cp:lastModifiedBy>
  <cp:lastPrinted>2024-01-26T01:12:53Z</cp:lastPrinted>
  <dcterms:modified xsi:type="dcterms:W3CDTF">2024-01-26T01:45:06Z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3ED8126A39FF4430ACB0017BBCB2FA7F_12</vt:lpwstr>
  </property>
</Properties>
</file>