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rPr>
      </w:pPr>
    </w:p>
    <w:p>
      <w:pPr>
        <w:jc w:val="center"/>
        <w:rPr>
          <w:sz w:val="28"/>
        </w:rPr>
      </w:pPr>
    </w:p>
    <w:p>
      <w:pPr>
        <w:jc w:val="center"/>
        <w:rPr>
          <w:sz w:val="28"/>
        </w:rPr>
      </w:pPr>
    </w:p>
    <w:p>
      <w:pPr>
        <w:jc w:val="center"/>
        <w:rPr>
          <w:color w:val="FF0000"/>
          <w:w w:val="50"/>
          <w:kern w:val="11"/>
          <w:sz w:val="92"/>
          <w:szCs w:val="92"/>
        </w:rPr>
      </w:pPr>
      <w:r>
        <w:rPr>
          <w:rFonts w:hint="eastAsia" w:ascii="方正小标宋简体" w:eastAsia="方正小标宋简体" w:cs="方正小标宋简体"/>
          <w:color w:val="FF0000"/>
          <w:w w:val="50"/>
          <w:kern w:val="11"/>
          <w:sz w:val="92"/>
          <w:szCs w:val="92"/>
        </w:rPr>
        <w:t>陕西石油普通教育管理移交中心文件</w:t>
      </w:r>
    </w:p>
    <w:p>
      <w:pPr>
        <w:spacing w:line="280" w:lineRule="exact"/>
        <w:jc w:val="center"/>
        <w:rPr>
          <w:rFonts w:ascii="Times New Roman" w:hAnsi="Times New Roman" w:eastAsia="宋体"/>
        </w:rPr>
      </w:pPr>
    </w:p>
    <w:p>
      <w:pPr>
        <w:spacing w:line="280" w:lineRule="exact"/>
        <w:jc w:val="center"/>
      </w:pPr>
    </w:p>
    <w:p>
      <w:pPr>
        <w:spacing w:line="280" w:lineRule="exact"/>
        <w:jc w:val="center"/>
      </w:pPr>
    </w:p>
    <w:p>
      <w:pPr>
        <w:spacing w:line="280" w:lineRule="exact"/>
        <w:jc w:val="center"/>
      </w:pPr>
    </w:p>
    <w:p>
      <w:pPr>
        <w:jc w:val="center"/>
        <w:rPr>
          <w:rFonts w:eastAsia="仿宋_GB2312"/>
          <w:sz w:val="32"/>
          <w:szCs w:val="24"/>
        </w:rPr>
      </w:pPr>
      <w:r>
        <w:rPr>
          <w:rFonts w:hint="eastAsia" w:eastAsia="仿宋_GB2312"/>
          <w:sz w:val="32"/>
        </w:rPr>
        <w:t>陕油教发〔</w:t>
      </w:r>
      <w:r>
        <w:rPr>
          <w:rFonts w:eastAsia="仿宋_GB2312"/>
          <w:sz w:val="32"/>
        </w:rPr>
        <w:t>202</w:t>
      </w:r>
      <w:r>
        <w:rPr>
          <w:rFonts w:hint="eastAsia" w:eastAsia="仿宋_GB2312"/>
          <w:sz w:val="32"/>
        </w:rPr>
        <w:t>3〕 4</w:t>
      </w:r>
      <w:r>
        <w:rPr>
          <w:rFonts w:eastAsia="仿宋_GB2312"/>
          <w:sz w:val="32"/>
        </w:rPr>
        <w:t xml:space="preserve">3 </w:t>
      </w:r>
      <w:r>
        <w:rPr>
          <w:rFonts w:hint="eastAsia" w:eastAsia="仿宋_GB2312"/>
          <w:sz w:val="32"/>
        </w:rPr>
        <w:t>号</w:t>
      </w:r>
    </w:p>
    <w:p>
      <w:pPr>
        <w:ind w:firstLine="199" w:firstLineChars="95"/>
        <w:jc w:val="center"/>
        <w:rPr>
          <w:rFonts w:ascii="仿宋" w:hAnsi="仿宋" w:eastAsia="仿宋"/>
        </w:rPr>
      </w:pPr>
      <w:r>
        <w:pict>
          <v:line id="直线 2" o:spid="_x0000_s1027" o:spt="20" style="position:absolute;left:0pt;margin-left:6.1pt;margin-top:5.45pt;height:0pt;width:444.2pt;z-index:251660288;mso-width-relative:page;mso-height-relative:page;" stroked="t" coordsize="21600,21600">
            <v:path arrowok="t"/>
            <v:fill focussize="0,0"/>
            <v:stroke weight="1.5pt" color="#FF0000"/>
            <v:imagedata o:title=""/>
            <o:lock v:ext="edit"/>
          </v:line>
        </w:pict>
      </w:r>
      <w:r>
        <w:pict>
          <v:line id="直接连接符 3" o:spid="_x0000_s1026" o:spt="20" style="position:absolute;left:0pt;margin-left:172.5pt;margin-top:684.05pt;height:0pt;width:444.2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">
            <v:path arrowok="t"/>
            <v:fill focussize="0,0"/>
            <v:stroke weight="1.5pt" color="#FF0000"/>
            <v:imagedata o:title=""/>
            <o:lock v:ext="edit"/>
          </v:line>
        </w:pict>
      </w:r>
    </w:p>
    <w:p>
      <w:pPr>
        <w:ind w:firstLine="199" w:firstLineChars="95"/>
        <w:jc w:val="center"/>
        <w:rPr>
          <w:rFonts w:ascii="仿宋" w:hAnsi="仿宋" w:eastAsia="仿宋"/>
        </w:rPr>
      </w:pPr>
    </w:p>
    <w:p>
      <w:pPr>
        <w:spacing w:line="56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关于成立陕西石油普通教育管理移交中心2023年名师工作室的决定</w:t>
      </w:r>
    </w:p>
    <w:p>
      <w:pPr>
        <w:widowControl/>
        <w:spacing w:line="400" w:lineRule="exact"/>
        <w:ind w:firstLine="880" w:firstLineChars="200"/>
        <w:rPr>
          <w:rFonts w:ascii="方正小标宋简体" w:hAnsi="Times New Roman" w:eastAsia="方正小标宋简体" w:cs="Times New Roman"/>
          <w:sz w:val="44"/>
          <w:szCs w:val="44"/>
        </w:rPr>
      </w:pPr>
    </w:p>
    <w:p>
      <w:pPr>
        <w:widowControl/>
        <w:spacing w:line="520" w:lineRule="exact"/>
        <w:rPr>
          <w:rFonts w:ascii="仿宋_GB2312" w:hAnsi="Times New Roman" w:eastAsia="仿宋_GB2312" w:cs="Times New Roman"/>
          <w:sz w:val="32"/>
          <w:szCs w:val="32"/>
        </w:rPr>
      </w:pPr>
      <w:r>
        <w:rPr>
          <w:rFonts w:hint="eastAsia" w:ascii="仿宋" w:hAnsi="仿宋" w:eastAsia="仿宋"/>
          <w:sz w:val="32"/>
          <w:szCs w:val="32"/>
        </w:rPr>
        <w:t>各中小学、机关各部门</w:t>
      </w:r>
      <w:r>
        <w:rPr>
          <w:rFonts w:hint="eastAsia" w:ascii="仿宋_GB2312" w:hAnsi="Times New Roman" w:eastAsia="仿宋_GB2312" w:cs="Times New Roman"/>
          <w:sz w:val="32"/>
          <w:szCs w:val="32"/>
        </w:rPr>
        <w:t>：</w:t>
      </w:r>
    </w:p>
    <w:p>
      <w:pPr>
        <w:ind w:firstLine="640" w:firstLineChars="200"/>
        <w:rPr>
          <w:rFonts w:ascii="仿宋" w:hAnsi="仿宋" w:eastAsia="仿宋"/>
          <w:sz w:val="32"/>
          <w:szCs w:val="32"/>
        </w:rPr>
      </w:pPr>
      <w:r>
        <w:rPr>
          <w:rFonts w:hint="eastAsia" w:ascii="仿宋" w:hAnsi="仿宋" w:eastAsia="仿宋"/>
          <w:sz w:val="32"/>
          <w:szCs w:val="32"/>
        </w:rPr>
        <w:t>根据《陕西石油普通教育管理移交中心名师工作室管理指导意见》（陕油教发〔202</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2</w:t>
      </w:r>
      <w:r>
        <w:rPr>
          <w:rFonts w:hint="eastAsia" w:ascii="仿宋" w:hAnsi="仿宋" w:eastAsia="仿宋"/>
          <w:sz w:val="32"/>
          <w:szCs w:val="32"/>
        </w:rPr>
        <w:t>号）精神，通过各学校逐层选拔推荐，中心评选审核，决定成立陕西石油普通教育管理移交中心202</w:t>
      </w:r>
      <w:r>
        <w:rPr>
          <w:rFonts w:ascii="仿宋" w:hAnsi="仿宋" w:eastAsia="仿宋"/>
          <w:sz w:val="32"/>
          <w:szCs w:val="32"/>
        </w:rPr>
        <w:t>3</w:t>
      </w:r>
      <w:r>
        <w:rPr>
          <w:rFonts w:hint="eastAsia" w:ascii="仿宋" w:hAnsi="仿宋" w:eastAsia="仿宋"/>
          <w:sz w:val="32"/>
          <w:szCs w:val="32"/>
        </w:rPr>
        <w:t>年名师工作室3</w:t>
      </w:r>
      <w:r>
        <w:rPr>
          <w:rFonts w:ascii="仿宋" w:hAnsi="仿宋" w:eastAsia="仿宋"/>
          <w:sz w:val="32"/>
          <w:szCs w:val="32"/>
        </w:rPr>
        <w:t>5</w:t>
      </w:r>
      <w:r>
        <w:rPr>
          <w:rFonts w:hint="eastAsia" w:ascii="仿宋" w:hAnsi="仿宋" w:eastAsia="仿宋"/>
          <w:sz w:val="32"/>
          <w:szCs w:val="32"/>
        </w:rPr>
        <w:t>个，现予以公布（工作室主持人及成员名单见附件）。</w:t>
      </w:r>
    </w:p>
    <w:p>
      <w:pPr>
        <w:ind w:firstLine="640" w:firstLineChars="200"/>
        <w:rPr>
          <w:rFonts w:ascii="黑体" w:hAnsi="黑体" w:eastAsia="黑体"/>
          <w:sz w:val="32"/>
          <w:szCs w:val="32"/>
        </w:rPr>
      </w:pPr>
      <w:r>
        <w:rPr>
          <w:rFonts w:hint="eastAsia" w:ascii="黑体" w:hAnsi="黑体" w:eastAsia="黑体"/>
          <w:sz w:val="32"/>
          <w:szCs w:val="32"/>
        </w:rPr>
        <w:t>一、工作要求</w:t>
      </w:r>
    </w:p>
    <w:p>
      <w:pPr>
        <w:ind w:firstLine="640" w:firstLineChars="200"/>
        <w:rPr>
          <w:rFonts w:ascii="仿宋" w:hAnsi="仿宋" w:eastAsia="仿宋"/>
          <w:sz w:val="32"/>
          <w:szCs w:val="32"/>
        </w:rPr>
      </w:pPr>
      <w:r>
        <w:rPr>
          <w:rFonts w:hint="eastAsia" w:ascii="仿宋" w:hAnsi="仿宋" w:eastAsia="仿宋"/>
          <w:sz w:val="32"/>
          <w:szCs w:val="32"/>
        </w:rPr>
        <w:t>（一）各名师工作室主持人要按照《陕西石油普通教育管理移交中心名师工作室管理指导意见》做好工作室的建设工作，积极履行职责，认真完成任务，充分发挥教学名师教书育人、教师培养、教育管理、教育科研等方面的示范辐射作用，带动中心教师队伍整体素质全面提升，促进中心教育事业高质量发展和教学质量减负提质增优。</w:t>
      </w:r>
    </w:p>
    <w:p>
      <w:pPr>
        <w:ind w:firstLine="640" w:firstLineChars="200"/>
        <w:rPr>
          <w:rFonts w:ascii="仿宋" w:hAnsi="仿宋" w:eastAsia="仿宋"/>
          <w:sz w:val="32"/>
          <w:szCs w:val="32"/>
        </w:rPr>
      </w:pPr>
      <w:r>
        <w:rPr>
          <w:rFonts w:hint="eastAsia" w:ascii="仿宋" w:hAnsi="仿宋" w:eastAsia="仿宋"/>
          <w:sz w:val="32"/>
          <w:szCs w:val="32"/>
        </w:rPr>
        <w:t>（二）各名师工作室全体成员要积极参与活动，结合自身工作实际，认真钻研教育教学理论，努力提高专业水平，学名师、成名师。</w:t>
      </w:r>
    </w:p>
    <w:p>
      <w:pPr>
        <w:ind w:firstLine="640" w:firstLineChars="200"/>
        <w:rPr>
          <w:rFonts w:ascii="仿宋" w:hAnsi="仿宋" w:eastAsia="仿宋"/>
          <w:sz w:val="32"/>
          <w:szCs w:val="32"/>
        </w:rPr>
      </w:pPr>
      <w:r>
        <w:rPr>
          <w:rFonts w:hint="eastAsia" w:ascii="仿宋" w:hAnsi="仿宋" w:eastAsia="仿宋"/>
          <w:sz w:val="32"/>
          <w:szCs w:val="32"/>
        </w:rPr>
        <w:t>（三）各有关学校要积极支持工作室开展各项研修活动，使工作室真正成为教师群体发展的成长平台，为中心教育质量再上新台阶做出新贡献。</w:t>
      </w:r>
    </w:p>
    <w:p>
      <w:pPr>
        <w:spacing w:line="560" w:lineRule="exact"/>
        <w:rPr>
          <w:rFonts w:ascii="黑体" w:hAnsi="黑体" w:eastAsia="黑体"/>
          <w:sz w:val="32"/>
          <w:szCs w:val="32"/>
        </w:rPr>
      </w:pPr>
      <w:r>
        <w:rPr>
          <w:rFonts w:hint="eastAsia" w:ascii="黑体" w:hAnsi="黑体" w:eastAsia="黑体"/>
          <w:sz w:val="32"/>
          <w:szCs w:val="32"/>
        </w:rPr>
        <w:t xml:space="preserve">    二、管理办法</w:t>
      </w:r>
    </w:p>
    <w:p>
      <w:pPr>
        <w:spacing w:line="560" w:lineRule="exact"/>
        <w:rPr>
          <w:rFonts w:ascii="仿宋" w:hAnsi="仿宋" w:eastAsia="仿宋"/>
          <w:sz w:val="32"/>
          <w:szCs w:val="32"/>
        </w:rPr>
      </w:pPr>
      <w:r>
        <w:rPr>
          <w:rFonts w:hint="eastAsia" w:ascii="仿宋" w:hAnsi="仿宋" w:eastAsia="仿宋"/>
          <w:sz w:val="32"/>
          <w:szCs w:val="32"/>
        </w:rPr>
        <w:t xml:space="preserve">    （一）</w:t>
      </w:r>
      <w:r>
        <w:rPr>
          <w:rFonts w:ascii="仿宋" w:hAnsi="仿宋" w:eastAsia="仿宋"/>
          <w:sz w:val="32"/>
          <w:szCs w:val="32"/>
        </w:rPr>
        <w:t>统一管理。</w:t>
      </w:r>
      <w:r>
        <w:rPr>
          <w:rFonts w:hint="eastAsia" w:ascii="仿宋" w:hAnsi="仿宋" w:eastAsia="仿宋"/>
          <w:sz w:val="32"/>
          <w:szCs w:val="32"/>
        </w:rPr>
        <w:t>名师工作室</w:t>
      </w:r>
      <w:r>
        <w:rPr>
          <w:rFonts w:ascii="仿宋" w:hAnsi="仿宋" w:eastAsia="仿宋"/>
          <w:sz w:val="32"/>
          <w:szCs w:val="32"/>
        </w:rPr>
        <w:t>由</w:t>
      </w:r>
      <w:r>
        <w:rPr>
          <w:rFonts w:hint="eastAsia" w:ascii="仿宋" w:hAnsi="仿宋" w:eastAsia="仿宋"/>
          <w:sz w:val="32"/>
          <w:szCs w:val="32"/>
        </w:rPr>
        <w:t>中心</w:t>
      </w:r>
      <w:r>
        <w:rPr>
          <w:rFonts w:ascii="仿宋" w:hAnsi="仿宋" w:eastAsia="仿宋"/>
          <w:sz w:val="32"/>
          <w:szCs w:val="32"/>
        </w:rPr>
        <w:t>统一规划、协调和指导。</w:t>
      </w:r>
      <w:r>
        <w:rPr>
          <w:rFonts w:hint="eastAsia" w:ascii="仿宋" w:hAnsi="仿宋" w:eastAsia="仿宋"/>
          <w:sz w:val="32"/>
          <w:szCs w:val="32"/>
        </w:rPr>
        <w:t>学校校长是本校名师工作室管理及建设的第一责任人，学校要有效履行领导、建设、检查、监督等责任。</w:t>
      </w:r>
    </w:p>
    <w:p>
      <w:pPr>
        <w:spacing w:line="560" w:lineRule="exact"/>
        <w:rPr>
          <w:rFonts w:ascii="仿宋" w:hAnsi="仿宋" w:eastAsia="仿宋"/>
          <w:sz w:val="32"/>
          <w:szCs w:val="32"/>
        </w:rPr>
      </w:pPr>
      <w:r>
        <w:rPr>
          <w:rFonts w:hint="eastAsia" w:ascii="仿宋" w:hAnsi="仿宋" w:eastAsia="仿宋"/>
          <w:sz w:val="32"/>
          <w:szCs w:val="32"/>
        </w:rPr>
        <w:t xml:space="preserve">    （二）动态管理。各名师工作室要健全和完善管理制度，建立激励与制约机制，对成员形成公平竞争、滚动发展、能进能出的动态管理体制。成员变更需向中心备案。</w:t>
      </w:r>
    </w:p>
    <w:p>
      <w:pPr>
        <w:spacing w:line="560" w:lineRule="exact"/>
        <w:rPr>
          <w:rFonts w:ascii="Times New Roman" w:hAnsi="Times New Roman" w:eastAsia="仿宋"/>
          <w:kern w:val="0"/>
          <w:sz w:val="32"/>
          <w:szCs w:val="32"/>
        </w:rPr>
      </w:pPr>
      <w:r>
        <w:rPr>
          <w:rFonts w:hint="eastAsia" w:ascii="仿宋" w:hAnsi="仿宋" w:eastAsia="仿宋"/>
          <w:sz w:val="32"/>
          <w:szCs w:val="32"/>
        </w:rPr>
        <w:t xml:space="preserve">    （三）</w:t>
      </w:r>
      <w:r>
        <w:rPr>
          <w:rFonts w:ascii="仿宋" w:hAnsi="仿宋" w:eastAsia="仿宋"/>
          <w:sz w:val="32"/>
          <w:szCs w:val="32"/>
        </w:rPr>
        <w:t>考核管理。</w:t>
      </w:r>
      <w:r>
        <w:rPr>
          <w:rFonts w:ascii="Times New Roman" w:hAnsi="Times New Roman" w:eastAsia="仿宋"/>
          <w:kern w:val="0"/>
          <w:sz w:val="32"/>
          <w:szCs w:val="32"/>
        </w:rPr>
        <w:t>原则上从认定后每</w:t>
      </w:r>
      <w:r>
        <w:rPr>
          <w:rFonts w:hint="eastAsia" w:ascii="Times New Roman" w:hAnsi="Times New Roman" w:eastAsia="仿宋"/>
          <w:kern w:val="0"/>
          <w:sz w:val="32"/>
          <w:szCs w:val="32"/>
        </w:rPr>
        <w:t>1</w:t>
      </w:r>
      <w:r>
        <w:rPr>
          <w:rFonts w:ascii="Times New Roman" w:hAnsi="Times New Roman" w:eastAsia="仿宋"/>
          <w:kern w:val="0"/>
          <w:sz w:val="32"/>
          <w:szCs w:val="32"/>
        </w:rPr>
        <w:t>年为一个考核周期。考核</w:t>
      </w:r>
      <w:r>
        <w:rPr>
          <w:rFonts w:hint="eastAsia" w:ascii="仿宋" w:hAnsi="仿宋" w:eastAsia="仿宋"/>
          <w:sz w:val="32"/>
          <w:szCs w:val="32"/>
        </w:rPr>
        <w:t>突出作用发挥</w:t>
      </w:r>
      <w:r>
        <w:rPr>
          <w:rFonts w:ascii="仿宋" w:hAnsi="仿宋" w:eastAsia="仿宋"/>
          <w:sz w:val="32"/>
          <w:szCs w:val="32"/>
        </w:rPr>
        <w:t>，</w:t>
      </w:r>
      <w:r>
        <w:rPr>
          <w:rFonts w:ascii="Times New Roman" w:hAnsi="Times New Roman" w:eastAsia="仿宋"/>
          <w:kern w:val="0"/>
          <w:sz w:val="32"/>
          <w:szCs w:val="32"/>
        </w:rPr>
        <w:t>逐步形成坚持标准、公平竞争、优胜劣汰的良性机制。</w:t>
      </w:r>
    </w:p>
    <w:p>
      <w:pPr>
        <w:spacing w:line="560" w:lineRule="exact"/>
        <w:rPr>
          <w:rFonts w:ascii="黑体" w:hAnsi="黑体" w:eastAsia="黑体"/>
          <w:sz w:val="32"/>
          <w:szCs w:val="32"/>
        </w:rPr>
      </w:pPr>
      <w:r>
        <w:rPr>
          <w:rFonts w:hint="eastAsia" w:ascii="黑体" w:hAnsi="黑体" w:eastAsia="黑体"/>
          <w:sz w:val="32"/>
          <w:szCs w:val="32"/>
        </w:rPr>
        <w:t xml:space="preserve">    三、经费保障</w:t>
      </w:r>
    </w:p>
    <w:p>
      <w:pPr>
        <w:spacing w:line="560" w:lineRule="exact"/>
        <w:rPr>
          <w:rFonts w:ascii="仿宋" w:hAnsi="仿宋" w:eastAsia="仿宋"/>
          <w:sz w:val="32"/>
          <w:szCs w:val="32"/>
        </w:rPr>
      </w:pPr>
      <w:r>
        <w:rPr>
          <w:rFonts w:hint="eastAsia" w:ascii="仿宋" w:hAnsi="仿宋" w:eastAsia="仿宋"/>
          <w:sz w:val="32"/>
          <w:szCs w:val="32"/>
        </w:rPr>
        <w:t xml:space="preserve">    （一）</w:t>
      </w:r>
      <w:r>
        <w:rPr>
          <w:rFonts w:hint="eastAsia" w:ascii="仿宋" w:hAnsi="仿宋" w:eastAsia="仿宋" w:cs="宋体"/>
          <w:kern w:val="0"/>
          <w:sz w:val="32"/>
          <w:szCs w:val="32"/>
        </w:rPr>
        <w:t>每个名师工作室中心安排每年基本活动经费壹万元</w:t>
      </w:r>
      <w:r>
        <w:rPr>
          <w:rFonts w:hint="eastAsia" w:ascii="仿宋" w:hAnsi="仿宋" w:eastAsia="仿宋"/>
          <w:sz w:val="32"/>
          <w:szCs w:val="32"/>
        </w:rPr>
        <w:t>，由中心根据各学校名师工作室数量统一划拨到校。</w:t>
      </w:r>
    </w:p>
    <w:p>
      <w:pPr>
        <w:spacing w:line="560" w:lineRule="exact"/>
        <w:rPr>
          <w:rFonts w:ascii="仿宋" w:hAnsi="仿宋" w:eastAsia="仿宋"/>
          <w:sz w:val="32"/>
          <w:szCs w:val="32"/>
        </w:rPr>
      </w:pPr>
      <w:r>
        <w:rPr>
          <w:rFonts w:hint="eastAsia" w:ascii="仿宋" w:hAnsi="仿宋" w:eastAsia="仿宋"/>
          <w:sz w:val="32"/>
          <w:szCs w:val="32"/>
        </w:rPr>
        <w:t xml:space="preserve">    （二）名师工作室经费的使用坚持“科学规范、力求节约、专款专用”原则，发挥好资金的最大使用效益。</w:t>
      </w:r>
    </w:p>
    <w:p>
      <w:pPr>
        <w:spacing w:line="560" w:lineRule="exact"/>
        <w:rPr>
          <w:rFonts w:ascii="仿宋" w:hAnsi="仿宋" w:eastAsia="仿宋"/>
          <w:sz w:val="32"/>
          <w:szCs w:val="32"/>
        </w:rPr>
      </w:pPr>
      <w:r>
        <w:rPr>
          <w:rFonts w:hint="eastAsia" w:ascii="仿宋" w:hAnsi="仿宋" w:eastAsia="仿宋"/>
          <w:sz w:val="32"/>
          <w:szCs w:val="32"/>
        </w:rPr>
        <w:t xml:space="preserve">    （三）名师工作室主持人按照年度支出预算，确定支出方向，留存财务单据。主持人所在单位依据财务管理制度对工作室各类财务单据进行审核。各项支出做到事前申报、事后审核，规范财务报销手续。</w:t>
      </w:r>
    </w:p>
    <w:p>
      <w:pPr>
        <w:spacing w:line="560" w:lineRule="exact"/>
        <w:rPr>
          <w:rFonts w:ascii="仿宋" w:hAnsi="仿宋" w:eastAsia="仿宋"/>
          <w:sz w:val="32"/>
          <w:szCs w:val="32"/>
        </w:rPr>
      </w:pPr>
      <w:r>
        <w:rPr>
          <w:rFonts w:hint="eastAsia" w:ascii="仿宋" w:hAnsi="仿宋" w:eastAsia="仿宋"/>
          <w:sz w:val="32"/>
          <w:szCs w:val="32"/>
        </w:rPr>
        <w:t xml:space="preserve">    （四）经费支出范围：办公用品及图书资料购置费、外聘专家讲课费、会务费、区内交流学习食宿费及交通费、科研成果鉴定推广及其它确因工作需要用于名师工作室集体性支出等费用。各类费用支出参照上级相关文件的标准和要求执行。</w:t>
      </w:r>
    </w:p>
    <w:p>
      <w:pPr>
        <w:spacing w:line="560" w:lineRule="exact"/>
        <w:rPr>
          <w:rFonts w:ascii="仿宋" w:hAnsi="仿宋" w:eastAsia="仿宋"/>
          <w:sz w:val="32"/>
          <w:szCs w:val="32"/>
        </w:rPr>
      </w:pPr>
      <w:r>
        <w:rPr>
          <w:rFonts w:hint="eastAsia" w:ascii="仿宋" w:hAnsi="仿宋" w:eastAsia="仿宋"/>
          <w:sz w:val="32"/>
          <w:szCs w:val="32"/>
        </w:rPr>
        <w:t xml:space="preserve">    （五）经费使用接受中心的审计检查和监督。检查出的问题，按照财务管理规定处理。</w:t>
      </w:r>
    </w:p>
    <w:p>
      <w:pPr>
        <w:spacing w:line="560" w:lineRule="exact"/>
        <w:rPr>
          <w:rFonts w:ascii="仿宋" w:hAnsi="仿宋" w:eastAsia="仿宋"/>
          <w:sz w:val="32"/>
          <w:szCs w:val="32"/>
        </w:rPr>
      </w:pPr>
      <w:r>
        <w:rPr>
          <w:rFonts w:hint="eastAsia" w:ascii="仿宋" w:hAnsi="仿宋" w:eastAsia="仿宋"/>
          <w:sz w:val="32"/>
          <w:szCs w:val="32"/>
        </w:rPr>
        <w:t xml:space="preserve">    （六）经费使用要量入为出，不得超支，年度经费有结余的，可结转下一年度继续使用。</w:t>
      </w: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附件：</w:t>
      </w:r>
    </w:p>
    <w:p>
      <w:pPr>
        <w:ind w:firstLine="640" w:firstLineChars="200"/>
        <w:rPr>
          <w:rFonts w:ascii="仿宋" w:hAnsi="仿宋" w:eastAsia="仿宋"/>
          <w:sz w:val="32"/>
          <w:szCs w:val="32"/>
        </w:rPr>
      </w:pPr>
      <w:r>
        <w:rPr>
          <w:rFonts w:hint="eastAsia" w:ascii="仿宋" w:hAnsi="仿宋" w:eastAsia="仿宋"/>
          <w:sz w:val="32"/>
          <w:szCs w:val="32"/>
        </w:rPr>
        <w:t>1.陕西石油普通教育管理移交中心202</w:t>
      </w:r>
      <w:r>
        <w:rPr>
          <w:rFonts w:ascii="仿宋" w:hAnsi="仿宋" w:eastAsia="仿宋"/>
          <w:sz w:val="32"/>
          <w:szCs w:val="32"/>
        </w:rPr>
        <w:t>3</w:t>
      </w:r>
      <w:r>
        <w:rPr>
          <w:rFonts w:hint="eastAsia" w:ascii="仿宋" w:hAnsi="仿宋" w:eastAsia="仿宋"/>
          <w:sz w:val="32"/>
          <w:szCs w:val="32"/>
        </w:rPr>
        <w:t>年名师工作室及成员名单</w:t>
      </w:r>
    </w:p>
    <w:p>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石油普教中心名师工作室分学科指导专家</w:t>
      </w:r>
    </w:p>
    <w:p>
      <w:pPr>
        <w:rPr>
          <w:rFonts w:ascii="仿宋" w:hAnsi="仿宋" w:eastAsia="仿宋"/>
          <w:sz w:val="32"/>
          <w:szCs w:val="32"/>
        </w:rPr>
      </w:pPr>
    </w:p>
    <w:p>
      <w:pPr>
        <w:spacing w:line="580" w:lineRule="exact"/>
        <w:rPr>
          <w:rFonts w:ascii="仿宋" w:hAnsi="仿宋" w:eastAsia="仿宋"/>
          <w:sz w:val="32"/>
          <w:szCs w:val="32"/>
        </w:rPr>
      </w:pPr>
    </w:p>
    <w:p>
      <w:pPr>
        <w:spacing w:line="580" w:lineRule="exact"/>
        <w:rPr>
          <w:rFonts w:ascii="仿宋" w:hAnsi="仿宋" w:eastAsia="仿宋"/>
          <w:sz w:val="32"/>
          <w:szCs w:val="32"/>
        </w:rPr>
      </w:pPr>
      <w:r>
        <w:rPr>
          <w:rFonts w:hint="eastAsia" w:ascii="仿宋" w:hAnsi="仿宋" w:eastAsia="仿宋"/>
          <w:sz w:val="32"/>
          <w:szCs w:val="32"/>
        </w:rPr>
        <w:t xml:space="preserve">                         陕西石油普通教育管理移交中心</w:t>
      </w:r>
    </w:p>
    <w:p>
      <w:pPr>
        <w:spacing w:line="580" w:lineRule="exac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二○二三年五月二十三日</w:t>
      </w:r>
    </w:p>
    <w:p>
      <w:pPr>
        <w:rPr>
          <w:rFonts w:ascii="仿宋" w:hAnsi="仿宋" w:eastAsia="仿宋"/>
          <w:sz w:val="32"/>
          <w:szCs w:val="32"/>
        </w:rPr>
      </w:pPr>
    </w:p>
    <w:p>
      <w:pP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附件1</w:t>
      </w:r>
    </w:p>
    <w:p>
      <w:pPr>
        <w:jc w:val="center"/>
        <w:rPr>
          <w:rFonts w:ascii="黑体" w:hAnsi="黑体" w:eastAsia="黑体"/>
          <w:sz w:val="36"/>
          <w:szCs w:val="36"/>
        </w:rPr>
      </w:pPr>
      <w:r>
        <w:rPr>
          <w:rFonts w:hint="eastAsia" w:ascii="黑体" w:hAnsi="黑体" w:eastAsia="黑体"/>
          <w:sz w:val="36"/>
          <w:szCs w:val="36"/>
        </w:rPr>
        <w:t>陕西石油普通教育管理移交中心</w:t>
      </w:r>
    </w:p>
    <w:p>
      <w:pPr>
        <w:jc w:val="center"/>
        <w:rPr>
          <w:rFonts w:ascii="黑体" w:hAnsi="黑体" w:eastAsia="黑体"/>
          <w:sz w:val="36"/>
          <w:szCs w:val="36"/>
        </w:rPr>
      </w:pPr>
      <w:r>
        <w:rPr>
          <w:rFonts w:hint="eastAsia" w:ascii="黑体" w:hAnsi="黑体" w:eastAsia="黑体"/>
          <w:sz w:val="36"/>
          <w:szCs w:val="36"/>
        </w:rPr>
        <w:t>2023年名师工作室及成员名单</w:t>
      </w:r>
    </w:p>
    <w:tbl>
      <w:tblPr>
        <w:tblStyle w:val="7"/>
        <w:tblW w:w="5000" w:type="pct"/>
        <w:tblInd w:w="0" w:type="dxa"/>
        <w:tblLayout w:type="autofit"/>
        <w:tblCellMar>
          <w:top w:w="0" w:type="dxa"/>
          <w:left w:w="108" w:type="dxa"/>
          <w:bottom w:w="0" w:type="dxa"/>
          <w:right w:w="108" w:type="dxa"/>
        </w:tblCellMar>
      </w:tblPr>
      <w:tblGrid>
        <w:gridCol w:w="641"/>
        <w:gridCol w:w="2460"/>
        <w:gridCol w:w="751"/>
        <w:gridCol w:w="1176"/>
        <w:gridCol w:w="2616"/>
        <w:gridCol w:w="1416"/>
      </w:tblGrid>
      <w:tr>
        <w:tblPrEx>
          <w:tblCellMar>
            <w:top w:w="0" w:type="dxa"/>
            <w:left w:w="108" w:type="dxa"/>
            <w:bottom w:w="0" w:type="dxa"/>
            <w:right w:w="108" w:type="dxa"/>
          </w:tblCellMar>
        </w:tblPrEx>
        <w:trPr>
          <w:trHeight w:val="408" w:hRule="atLeast"/>
        </w:trPr>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144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名称</w:t>
            </w:r>
          </w:p>
        </w:tc>
        <w:tc>
          <w:tcPr>
            <w:tcW w:w="50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成员序号</w:t>
            </w:r>
          </w:p>
        </w:tc>
        <w:tc>
          <w:tcPr>
            <w:tcW w:w="62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成员姓名</w:t>
            </w:r>
          </w:p>
        </w:tc>
        <w:tc>
          <w:tcPr>
            <w:tcW w:w="122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成员单位</w:t>
            </w:r>
          </w:p>
        </w:tc>
        <w:tc>
          <w:tcPr>
            <w:tcW w:w="7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主持人单位</w:t>
            </w: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高中体育与健康学科赵晓东名师工作室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森</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西安经开第一中学</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程  菲</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西安经开第一小学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蒋亚坤</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曲江第三中学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  丹</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张皓天</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王亚妮</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曲  恒</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屈贞逸</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童  堃</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周圣尧</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高中地理学科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刘立英名师工作室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刘宜攀</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赵  宁</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金亚丽</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姜宇钟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玮</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刘沛源</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高中技术学科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闫骏名师工作室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代  兵</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薛  仙</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马卫军</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任绥海</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冯淑娟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邵梓健</w:t>
            </w:r>
          </w:p>
        </w:tc>
        <w:tc>
          <w:tcPr>
            <w:tcW w:w="122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高中化学学科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王延芳名师工作室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郑叶桐</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陈依婷</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  燕</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婷</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  宵</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廖若琳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唐  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苟亚平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李北翎</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王子涵</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高中英语学科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张馨予名师工作室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董  莹</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崔建功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牛  青</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刘琳琳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颖</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  瑶</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郑梦琰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刘乃玮</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高中语文学科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李夏柔名师工作室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詹华强</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宋建革</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萌</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马欣雨</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陈敬健</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韩  瑾</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七十五中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田晓箐</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四十八中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李凌锐</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西安高级中学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郎梦瑶</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七十五中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高中数学学科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王夏名师工作室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贺卫平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马探军</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马涵菲</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杨子轩</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维</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王婧婧</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成欣怡</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高中生物学科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杨旭名师工作室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周  淼</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何  航</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刘晓晶</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姜小鹏</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西安市东元路学校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波</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西安市第六中学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王国钰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畅  璐</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44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高中化学学科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张方方名师工作室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李昕瑶</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李佳秀</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吕宏旺</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高鹏凤</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陶永新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徐娅婷</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44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高中思想政治学科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高慧娟名师工作室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乔青青</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常  芮</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张钰莹</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吉双虎</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杨粉钗</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初中英语学科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辛湘妮名师工作室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沛</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张苗苗</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尹飞妮</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牟亚兰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长孙燕</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张俊芳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秦 博</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王学敏</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陈甜甜</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陈思萌</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德育工作高鹏凤</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名班主任工作室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李耀文</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薛小飞</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黎红英</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乔青青</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李昕瑶</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刘琳琳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王晓丰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成欣怡</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44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高中英语学科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董静春名师工作室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赵曼娜</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刘琳琳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张馨予</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颖</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  洁</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李亚茹</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何  婧</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刘乃玮</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李瑞华</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李紫荆</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岳玲玲</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经开二中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44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高中物理学科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李伟锋名师工作室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104</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李二勃</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105</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梁  浩</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106</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杜  康</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107</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李耀文</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108</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陈永燕</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109</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贾  航</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范如茵</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薛小飞</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加  齐</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王露婷</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闫  鑫</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144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初中语文学科申娜 ∕李阳名师工作室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  陶</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李雪莹</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韩慧惠</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左舒蕾</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何文心</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王奕欣</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苗  越</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中心机关</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毕敏丽</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西安高新第二学校</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初中英语学科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任洁名师工作室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牟亚兰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赵雪帆</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刘志华</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  萍</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冯雨薇</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初中道德与法治学科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姜艳红名师工作室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杨红斌</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张海燕</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张钰梅</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张向青</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李晓蕾</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小学音乐学科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段旭名师工作室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郑  甜</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中心机关</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何昕遥</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陈晓峰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景毓鸿</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程  笛</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朱雯霖</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向  颖</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初中化学学科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廖若琳名师工作室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陈佳晔</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  霄</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唐  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初中数学学科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许萌名师工作室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游海燕</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王若宇</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马亚岗</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华</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白  姗</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朱雅群</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长庆八中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  瑶</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中心机关</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初中语文学科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杜淼名师工作室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151</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张亮丽</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  妍</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153</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  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司飞妮</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155</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慧</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156</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  箫</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157</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许银社</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初中数学学科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曹华名师工作室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158</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丁凤莉</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159</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靳焕娣</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160</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刘淑媛</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边  钊</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田  筱</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163</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梁沛礼</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小学音乐学科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陈璐名师工作室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晨</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朱敏慈</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  颖</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杨  敏</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168</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夏  静</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初中理化学科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苏润师工作室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云</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马慧健</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刘亚超</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w:t>
            </w:r>
          </w:p>
        </w:tc>
        <w:tc>
          <w:tcPr>
            <w:tcW w:w="622"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  霞</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德育工作尚敬</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名班主任工作室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魏敏敏</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史静静</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洋</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赵  静</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杨  娜</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徐慧杰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小学语文学科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李晨元名师工作室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魏敏敏</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  菲</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刘梦瑶</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黄  丹</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赵心仪</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殷  玥</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李永润</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王雅欣</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西安浐灞阳光海蓝小学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初中英语学科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陈思萌名师工作室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师竹英</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李婵娟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徐艳楠</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牛  倩</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田迎玖</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小学数学学科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孙一瑞名师工作室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王武娟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韩  波</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张文静</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陈  俊</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王苗苗</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杜玉荣</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彭  帅</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宋  强</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初中道德与法治学科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段锐琦名师工作室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罗  鑫</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张小梅</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马颖钒</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熊晴晴</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  洁</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  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董瑞静</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小学体育与健康学科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张皓天名师工作室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李忆秋</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  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贺占占</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杨张伟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王亚妮</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张银子</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泾河学校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  强</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六十六中</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  丹</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144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初中数学学科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齐峰峰名师工作室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李改风</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郝鲜梅</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张园圆</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强东宁</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王艳兵</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张子涵</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中心机关</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w:t>
            </w:r>
          </w:p>
        </w:tc>
        <w:tc>
          <w:tcPr>
            <w:tcW w:w="144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初中地理学科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黄力名师工作室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  倩</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c>
          <w:tcPr>
            <w:tcW w:w="772"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礼泉分校</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俊</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咸阳子校</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华</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未央湖学校</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凝</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长庆二中</w:t>
            </w:r>
          </w:p>
        </w:tc>
        <w:tc>
          <w:tcPr>
            <w:tcW w:w="77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小学语文学科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周秀玲名师工作室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段静峰</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张凯歌</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侯杏丽</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薛  媛</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罗品鸽</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梁  敏</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孙江涛</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周  瑾</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李玲玲</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  彤</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34</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小学体育与健康学科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屈贞逸名师工作室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杨张伟</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贾  彬</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刘舒昌</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梅  震</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梁丹丹</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马旭琳</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242</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孙  勇</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243</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张启绒</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w:t>
            </w:r>
          </w:p>
        </w:tc>
        <w:tc>
          <w:tcPr>
            <w:tcW w:w="144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小学数学学科</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贺小兰名师工作室</w:t>
            </w: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244</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  梅</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245</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郭梦洁</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246</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卢欢乐</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247</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张  敏</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248</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王  珂</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249</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何  珊</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250</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  青</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泾渭小学</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r>
        <w:tblPrEx>
          <w:tblCellMar>
            <w:top w:w="0" w:type="dxa"/>
            <w:left w:w="108" w:type="dxa"/>
            <w:bottom w:w="0" w:type="dxa"/>
            <w:right w:w="108" w:type="dxa"/>
          </w:tblCellMar>
        </w:tblPrEx>
        <w:trPr>
          <w:trHeight w:val="408" w:hRule="atLeast"/>
        </w:trPr>
        <w:tc>
          <w:tcPr>
            <w:tcW w:w="44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44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50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251</w:t>
            </w:r>
          </w:p>
        </w:tc>
        <w:tc>
          <w:tcPr>
            <w:tcW w:w="622"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李小博</w:t>
            </w:r>
          </w:p>
        </w:tc>
        <w:tc>
          <w:tcPr>
            <w:tcW w:w="1220"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w:t>
            </w:r>
            <w:r>
              <w:rPr>
                <w:rFonts w:hint="eastAsia" w:ascii="宋体" w:hAnsi="宋体" w:eastAsia="宋体" w:cs="宋体"/>
                <w:color w:val="000000"/>
                <w:kern w:val="0"/>
                <w:sz w:val="24"/>
                <w:szCs w:val="24"/>
                <w:lang w:val="en-US" w:eastAsia="zh-CN"/>
              </w:rPr>
              <w:t>心</w:t>
            </w:r>
            <w:r>
              <w:rPr>
                <w:rFonts w:hint="eastAsia" w:ascii="宋体" w:hAnsi="宋体" w:eastAsia="宋体" w:cs="宋体"/>
                <w:color w:val="000000"/>
                <w:kern w:val="0"/>
                <w:sz w:val="24"/>
                <w:szCs w:val="24"/>
              </w:rPr>
              <w:t>机关</w:t>
            </w:r>
          </w:p>
        </w:tc>
        <w:tc>
          <w:tcPr>
            <w:tcW w:w="77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r>
    </w:tbl>
    <w:p>
      <w:pPr>
        <w:rPr>
          <w:rFonts w:ascii="黑体" w:hAnsi="黑体" w:eastAsia="黑体"/>
          <w:sz w:val="32"/>
          <w:szCs w:val="32"/>
        </w:rPr>
      </w:pPr>
    </w:p>
    <w:p>
      <w:pPr>
        <w:rPr>
          <w:rFonts w:ascii="黑体" w:hAnsi="黑体" w:eastAsia="黑体"/>
          <w:sz w:val="32"/>
          <w:szCs w:val="32"/>
        </w:rPr>
      </w:pPr>
      <w:bookmarkStart w:id="0" w:name="_GoBack"/>
      <w:bookmarkEnd w:id="0"/>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r>
        <w:rPr>
          <w:rFonts w:ascii="黑体" w:hAnsi="黑体" w:eastAsia="黑体"/>
          <w:sz w:val="32"/>
          <w:szCs w:val="32"/>
        </w:rPr>
        <w:t>附件</w:t>
      </w:r>
      <w:r>
        <w:rPr>
          <w:rFonts w:hint="eastAsia" w:ascii="黑体" w:hAnsi="黑体" w:eastAsia="黑体"/>
          <w:sz w:val="32"/>
          <w:szCs w:val="32"/>
        </w:rPr>
        <w:t>2</w:t>
      </w:r>
    </w:p>
    <w:p>
      <w:pPr>
        <w:jc w:val="center"/>
        <w:rPr>
          <w:rFonts w:ascii="方正小标宋简体" w:hAnsi="仿宋" w:eastAsia="方正小标宋简体"/>
          <w:sz w:val="36"/>
          <w:szCs w:val="36"/>
        </w:rPr>
      </w:pPr>
      <w:r>
        <w:rPr>
          <w:rFonts w:hint="eastAsia" w:ascii="方正小标宋简体" w:hAnsi="仿宋" w:eastAsia="方正小标宋简体"/>
          <w:sz w:val="36"/>
          <w:szCs w:val="36"/>
        </w:rPr>
        <w:t>石油普教中心名师工作室分学科指导专家</w:t>
      </w:r>
    </w:p>
    <w:tbl>
      <w:tblPr>
        <w:tblStyle w:val="7"/>
        <w:tblW w:w="5000" w:type="pct"/>
        <w:tblInd w:w="0" w:type="dxa"/>
        <w:tblLayout w:type="autofit"/>
        <w:tblCellMar>
          <w:top w:w="0" w:type="dxa"/>
          <w:left w:w="108" w:type="dxa"/>
          <w:bottom w:w="0" w:type="dxa"/>
          <w:right w:w="108" w:type="dxa"/>
        </w:tblCellMar>
      </w:tblPr>
      <w:tblGrid>
        <w:gridCol w:w="580"/>
        <w:gridCol w:w="636"/>
        <w:gridCol w:w="636"/>
        <w:gridCol w:w="1266"/>
        <w:gridCol w:w="1266"/>
        <w:gridCol w:w="1304"/>
        <w:gridCol w:w="2316"/>
        <w:gridCol w:w="1056"/>
      </w:tblGrid>
      <w:tr>
        <w:tblPrEx>
          <w:tblCellMar>
            <w:top w:w="0" w:type="dxa"/>
            <w:left w:w="108" w:type="dxa"/>
            <w:bottom w:w="0" w:type="dxa"/>
            <w:right w:w="108" w:type="dxa"/>
          </w:tblCellMar>
        </w:tblPrEx>
        <w:trPr>
          <w:trHeight w:val="690" w:hRule="atLeast"/>
        </w:trPr>
        <w:tc>
          <w:tcPr>
            <w:tcW w:w="41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　</w:t>
            </w:r>
          </w:p>
        </w:tc>
        <w:tc>
          <w:tcPr>
            <w:tcW w:w="33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学段</w:t>
            </w:r>
          </w:p>
        </w:tc>
        <w:tc>
          <w:tcPr>
            <w:tcW w:w="33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数量</w:t>
            </w:r>
          </w:p>
        </w:tc>
        <w:tc>
          <w:tcPr>
            <w:tcW w:w="75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主持人</w:t>
            </w:r>
          </w:p>
        </w:tc>
        <w:tc>
          <w:tcPr>
            <w:tcW w:w="79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主持人单位</w:t>
            </w:r>
          </w:p>
        </w:tc>
        <w:tc>
          <w:tcPr>
            <w:tcW w:w="85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省级称号</w:t>
            </w:r>
          </w:p>
        </w:tc>
        <w:tc>
          <w:tcPr>
            <w:tcW w:w="82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最高荣誉</w:t>
            </w:r>
          </w:p>
        </w:tc>
        <w:tc>
          <w:tcPr>
            <w:tcW w:w="67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指导专家</w:t>
            </w:r>
          </w:p>
        </w:tc>
      </w:tr>
      <w:tr>
        <w:tblPrEx>
          <w:tblCellMar>
            <w:top w:w="0" w:type="dxa"/>
            <w:left w:w="108" w:type="dxa"/>
            <w:bottom w:w="0" w:type="dxa"/>
            <w:right w:w="108" w:type="dxa"/>
          </w:tblCellMar>
        </w:tblPrEx>
        <w:trPr>
          <w:trHeight w:val="720" w:hRule="atLeast"/>
        </w:trPr>
        <w:tc>
          <w:tcPr>
            <w:tcW w:w="41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语文</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李夏柔</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六十六中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陕西省直教育系统教学能手（2022）</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　</w:t>
            </w:r>
          </w:p>
        </w:tc>
        <w:tc>
          <w:tcPr>
            <w:tcW w:w="678"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 xml:space="preserve"> 罗  畅</w:t>
            </w: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初中</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2</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申娜∕李阳</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长庆八中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陕西省教学能手（2014）</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杜  淼</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泾河学校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陕西省教学能手（2018）</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小学</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2</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李晨元</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未央湖学校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陕西省直教育系统教学能手（2022）</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周秀玲</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泾渭小学</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陕西省教学能手（2019）</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数学</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王  夏</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六十六中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陕西省直教育系统教学能手（2022）</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周宗岐</w:t>
            </w: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初中</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3</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许  萌</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长庆八中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陕西省教学能手（2016）</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中心党员学术带头人</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曹  华</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泾河学校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陕西省直教育系统教学能手（2020）</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　</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齐峰峰</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礼泉分校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陕西省教学能手（2016）</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中心党员学术带头人</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小学</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2</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孙一瑞</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咸阳子校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陕西省优秀教学能手（2015）</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贺小兰</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泾渭小学</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陕西省直教育系统教学能手（2020）</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英语</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2</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张馨予</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六十六中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陕西省教学能手（2022）</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　</w:t>
            </w:r>
          </w:p>
        </w:tc>
        <w:tc>
          <w:tcPr>
            <w:tcW w:w="678"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杨筱冰</w:t>
            </w: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董静春</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长庆二中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陕西省学科带头人（2015）</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初中</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3</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辛湘妮</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长庆二中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陕西省教学名师（2020第三批）</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任  洁</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长庆八中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陕西省教学能手（2015）</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　</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陈思萌</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未央湖学校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陕西省教学能手（2018）</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物理</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李伟锋</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长庆二中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陕西省教学能手（2011）</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中心模范教师</w:t>
            </w:r>
          </w:p>
        </w:tc>
        <w:tc>
          <w:tcPr>
            <w:tcW w:w="678"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马  骏</w:t>
            </w:r>
          </w:p>
        </w:tc>
      </w:tr>
      <w:tr>
        <w:tblPrEx>
          <w:tblCellMar>
            <w:top w:w="0" w:type="dxa"/>
            <w:left w:w="108" w:type="dxa"/>
            <w:bottom w:w="0" w:type="dxa"/>
            <w:right w:w="108" w:type="dxa"/>
          </w:tblCellMar>
        </w:tblPrEx>
        <w:trPr>
          <w:trHeight w:val="720" w:hRule="atLeast"/>
        </w:trPr>
        <w:tc>
          <w:tcPr>
            <w:tcW w:w="41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理化</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初中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苏  润</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泾河学校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陕西省直教育系统教学能手（2021）</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中心优秀共产党员</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技术</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闫  骏</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六十六中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陕西省学科带头人（2016）</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咸阳市教学名师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化学</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2</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王延芳</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六十六中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陕西省学科带头人（2020）</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秦才玉</w:t>
            </w: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张方方</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长庆二中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陕西省教学能手（2016）</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初中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廖若琳</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长庆八中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陕西省教学能手（2018）</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　</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生物</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杨  旭</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六十六中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陕西省学科带头人（2018）</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　</w:t>
            </w:r>
          </w:p>
        </w:tc>
        <w:tc>
          <w:tcPr>
            <w:tcW w:w="6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 xml:space="preserve">李 </w:t>
            </w:r>
            <w:r>
              <w:rPr>
                <w:rFonts w:ascii="宋体" w:hAnsi="宋体" w:eastAsia="宋体" w:cs="宋体"/>
                <w:color w:val="000000"/>
                <w:kern w:val="0"/>
              </w:rPr>
              <w:t xml:space="preserve"> </w:t>
            </w:r>
            <w:r>
              <w:rPr>
                <w:rFonts w:hint="eastAsia" w:ascii="宋体" w:hAnsi="宋体" w:eastAsia="宋体" w:cs="宋体"/>
                <w:color w:val="000000"/>
                <w:kern w:val="0"/>
              </w:rPr>
              <w:t>凯</w:t>
            </w:r>
          </w:p>
        </w:tc>
      </w:tr>
      <w:tr>
        <w:tblPrEx>
          <w:tblCellMar>
            <w:top w:w="0" w:type="dxa"/>
            <w:left w:w="108" w:type="dxa"/>
            <w:bottom w:w="0" w:type="dxa"/>
            <w:right w:w="108" w:type="dxa"/>
          </w:tblCellMar>
        </w:tblPrEx>
        <w:trPr>
          <w:trHeight w:val="720" w:hRule="atLeast"/>
        </w:trPr>
        <w:tc>
          <w:tcPr>
            <w:tcW w:w="41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思想政治</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高慧娟</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长庆二中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陕西省直教育系统教学能手（2020）</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中心优秀共产党员</w:t>
            </w:r>
          </w:p>
        </w:tc>
        <w:tc>
          <w:tcPr>
            <w:tcW w:w="678"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刘海蓉</w:t>
            </w: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初中</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2</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姜艳红</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长庆八中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大庆市骨干教师</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　</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段锐琦</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咸阳子校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陕西省教学能手（2018）</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地理</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刘立英</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六十六中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陕西省教学能手（2014）</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李宏波</w:t>
            </w: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初中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黄  力</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礼泉分校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陕西省教学能手（2019）</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体育与健康</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赵晓东</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六十六中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陕西省优秀教学能手（2018）</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　</w:t>
            </w:r>
          </w:p>
        </w:tc>
        <w:tc>
          <w:tcPr>
            <w:tcW w:w="678"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陈拥军</w:t>
            </w: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小学</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2</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张皓天</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咸阳子校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陕西省教学能手（2020）</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中心“优秀团干”</w:t>
            </w:r>
          </w:p>
        </w:tc>
        <w:tc>
          <w:tcPr>
            <w:tcW w:w="678"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屈贞逸</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泾渭小学</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陕西省直教育系统教学能手（2022）</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音乐</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小学</w:t>
            </w:r>
          </w:p>
        </w:tc>
        <w:tc>
          <w:tcPr>
            <w:tcW w:w="335"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2</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段  旭</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长庆八中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陕西省教学能手（2021）</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长庆八中“优秀教师”</w:t>
            </w:r>
          </w:p>
        </w:tc>
        <w:tc>
          <w:tcPr>
            <w:tcW w:w="678"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胡  静</w:t>
            </w:r>
          </w:p>
        </w:tc>
      </w:tr>
      <w:tr>
        <w:tblPrEx>
          <w:tblCellMar>
            <w:top w:w="0" w:type="dxa"/>
            <w:left w:w="108" w:type="dxa"/>
            <w:bottom w:w="0" w:type="dxa"/>
            <w:right w:w="108" w:type="dxa"/>
          </w:tblCellMar>
        </w:tblPrEx>
        <w:trPr>
          <w:trHeight w:val="72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陈  璐</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泾河学校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陕西省教学能手（2015）</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r>
        <w:tblPrEx>
          <w:tblCellMar>
            <w:top w:w="0" w:type="dxa"/>
            <w:left w:w="108" w:type="dxa"/>
            <w:bottom w:w="0" w:type="dxa"/>
            <w:right w:w="108" w:type="dxa"/>
          </w:tblCellMar>
        </w:tblPrEx>
        <w:trPr>
          <w:trHeight w:val="720" w:hRule="atLeast"/>
        </w:trPr>
        <w:tc>
          <w:tcPr>
            <w:tcW w:w="41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德育</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高中</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高鹏凤</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长庆二中</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陕西省骨干班主任（2022）</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闫  妍</w:t>
            </w:r>
          </w:p>
        </w:tc>
      </w:tr>
      <w:tr>
        <w:tblPrEx>
          <w:tblCellMar>
            <w:top w:w="0" w:type="dxa"/>
            <w:left w:w="108" w:type="dxa"/>
            <w:bottom w:w="0" w:type="dxa"/>
            <w:right w:w="108" w:type="dxa"/>
          </w:tblCellMar>
        </w:tblPrEx>
        <w:trPr>
          <w:trHeight w:val="810" w:hRule="atLeast"/>
        </w:trPr>
        <w:tc>
          <w:tcPr>
            <w:tcW w:w="41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rPr>
            </w:pP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小学</w:t>
            </w:r>
          </w:p>
        </w:tc>
        <w:tc>
          <w:tcPr>
            <w:tcW w:w="33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1</w:t>
            </w:r>
          </w:p>
        </w:tc>
        <w:tc>
          <w:tcPr>
            <w:tcW w:w="75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尚  敬</w:t>
            </w:r>
          </w:p>
        </w:tc>
        <w:tc>
          <w:tcPr>
            <w:tcW w:w="7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rPr>
            </w:pPr>
            <w:r>
              <w:rPr>
                <w:rFonts w:hint="eastAsia" w:ascii="宋体" w:hAnsi="宋体" w:eastAsia="宋体" w:cs="宋体"/>
                <w:color w:val="000000"/>
                <w:kern w:val="0"/>
              </w:rPr>
              <w:t>未央湖学校</w:t>
            </w:r>
          </w:p>
        </w:tc>
        <w:tc>
          <w:tcPr>
            <w:tcW w:w="855"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陕西省中小学德育工作先进个人、陕西省优秀少先队辅导员</w:t>
            </w:r>
          </w:p>
        </w:tc>
        <w:tc>
          <w:tcPr>
            <w:tcW w:w="82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rPr>
            </w:pPr>
            <w:r>
              <w:rPr>
                <w:rFonts w:hint="eastAsia" w:ascii="宋体" w:hAnsi="宋体" w:eastAsia="宋体" w:cs="宋体"/>
                <w:color w:val="000000"/>
                <w:kern w:val="0"/>
              </w:rPr>
              <w:t>中心优秀教师</w:t>
            </w:r>
          </w:p>
        </w:tc>
        <w:tc>
          <w:tcPr>
            <w:tcW w:w="678"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rPr>
            </w:pPr>
          </w:p>
        </w:tc>
      </w:tr>
    </w:tbl>
    <w:p>
      <w:pPr>
        <w:rPr>
          <w:rFonts w:ascii="仿宋" w:hAnsi="仿宋" w:eastAsia="仿宋"/>
          <w:sz w:val="32"/>
          <w:szCs w:val="32"/>
        </w:rPr>
      </w:pPr>
    </w:p>
    <w:p>
      <w:pPr>
        <w:spacing w:line="760" w:lineRule="exact"/>
        <w:rPr>
          <w:rFonts w:ascii="仿宋" w:hAnsi="仿宋" w:eastAsia="仿宋"/>
          <w:sz w:val="32"/>
          <w:szCs w:val="32"/>
        </w:rPr>
      </w:pPr>
    </w:p>
    <w:sectPr>
      <w:footerReference r:id="rId3" w:type="default"/>
      <w:footerReference r:id="rId4" w:type="even"/>
      <w:pgSz w:w="11906" w:h="16838"/>
      <w:pgMar w:top="1440" w:right="1531" w:bottom="1440" w:left="1531"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1254825"/>
      <w:docPartObj>
        <w:docPartGallery w:val="AutoText"/>
      </w:docPartObj>
    </w:sdtPr>
    <w:sdtContent>
      <w:p>
        <w:pPr>
          <w:pStyle w:val="4"/>
          <w:jc w:val="center"/>
        </w:pPr>
        <w:r>
          <w:t xml:space="preserve">                                                                                              </w:t>
        </w:r>
        <w:r>
          <w:fldChar w:fldCharType="begin"/>
        </w:r>
        <w:r>
          <w:instrText xml:space="preserve">PAGE   \* MERGEFORMAT</w:instrText>
        </w:r>
        <w:r>
          <w:fldChar w:fldCharType="separate"/>
        </w:r>
        <w:r>
          <w:rPr>
            <w:lang w:val="zh-CN"/>
          </w:rPr>
          <w:t>-</w:t>
        </w:r>
        <w:r>
          <w:t xml:space="preserve"> 11 -</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6112882"/>
      <w:docPartObj>
        <w:docPartGallery w:val="AutoText"/>
      </w:docPartObj>
    </w:sdtPr>
    <w:sdtContent>
      <w:p>
        <w:pPr>
          <w:pStyle w:val="4"/>
          <w:ind w:right="720"/>
        </w:pPr>
        <w:r>
          <w:fldChar w:fldCharType="begin"/>
        </w:r>
        <w:r>
          <w:instrText xml:space="preserve">PAGE   \* MERGEFORMAT</w:instrText>
        </w:r>
        <w:r>
          <w:fldChar w:fldCharType="separate"/>
        </w:r>
        <w:r>
          <w:rPr>
            <w:lang w:val="zh-CN"/>
          </w:rPr>
          <w:t>-</w:t>
        </w:r>
        <w:r>
          <w:t xml:space="preserve"> 12 -</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AyMzY0N2QxZGJjZTQyYTYxZmQ0NDE5MTFlMDFiNTkifQ=="/>
  </w:docVars>
  <w:rsids>
    <w:rsidRoot w:val="00EB7C12"/>
    <w:rsid w:val="00001CD8"/>
    <w:rsid w:val="00010CFF"/>
    <w:rsid w:val="00013FF8"/>
    <w:rsid w:val="00020E39"/>
    <w:rsid w:val="000240E6"/>
    <w:rsid w:val="00035B1C"/>
    <w:rsid w:val="00037526"/>
    <w:rsid w:val="00050E84"/>
    <w:rsid w:val="00062A40"/>
    <w:rsid w:val="00070F84"/>
    <w:rsid w:val="000837A9"/>
    <w:rsid w:val="000943CA"/>
    <w:rsid w:val="000B70AE"/>
    <w:rsid w:val="000C3F22"/>
    <w:rsid w:val="000D060F"/>
    <w:rsid w:val="00104354"/>
    <w:rsid w:val="0011156E"/>
    <w:rsid w:val="00113094"/>
    <w:rsid w:val="00125CCA"/>
    <w:rsid w:val="001332D5"/>
    <w:rsid w:val="00135054"/>
    <w:rsid w:val="001364EC"/>
    <w:rsid w:val="00152941"/>
    <w:rsid w:val="00157688"/>
    <w:rsid w:val="00163334"/>
    <w:rsid w:val="00165F04"/>
    <w:rsid w:val="001726BD"/>
    <w:rsid w:val="001B580F"/>
    <w:rsid w:val="001D4A06"/>
    <w:rsid w:val="001E0BC2"/>
    <w:rsid w:val="001F07A9"/>
    <w:rsid w:val="002050FA"/>
    <w:rsid w:val="00211D98"/>
    <w:rsid w:val="002216F1"/>
    <w:rsid w:val="0022416A"/>
    <w:rsid w:val="00242FFC"/>
    <w:rsid w:val="0025541C"/>
    <w:rsid w:val="00283DF4"/>
    <w:rsid w:val="00290554"/>
    <w:rsid w:val="002D770E"/>
    <w:rsid w:val="002F21B1"/>
    <w:rsid w:val="003027F0"/>
    <w:rsid w:val="00303683"/>
    <w:rsid w:val="00343722"/>
    <w:rsid w:val="00344580"/>
    <w:rsid w:val="003536F3"/>
    <w:rsid w:val="00375BF3"/>
    <w:rsid w:val="0038306D"/>
    <w:rsid w:val="003A71E9"/>
    <w:rsid w:val="003B057F"/>
    <w:rsid w:val="003D0106"/>
    <w:rsid w:val="003E2140"/>
    <w:rsid w:val="003E7F9E"/>
    <w:rsid w:val="00412216"/>
    <w:rsid w:val="00433E55"/>
    <w:rsid w:val="00470306"/>
    <w:rsid w:val="0048555B"/>
    <w:rsid w:val="004B1A53"/>
    <w:rsid w:val="004B259F"/>
    <w:rsid w:val="004E3DAA"/>
    <w:rsid w:val="0050439A"/>
    <w:rsid w:val="00543F2F"/>
    <w:rsid w:val="00546459"/>
    <w:rsid w:val="00551254"/>
    <w:rsid w:val="00551EFD"/>
    <w:rsid w:val="00552EBC"/>
    <w:rsid w:val="005A5BA7"/>
    <w:rsid w:val="005B4FEC"/>
    <w:rsid w:val="005E1E4F"/>
    <w:rsid w:val="0061716F"/>
    <w:rsid w:val="006345F8"/>
    <w:rsid w:val="006368BF"/>
    <w:rsid w:val="0068404A"/>
    <w:rsid w:val="0069221C"/>
    <w:rsid w:val="006A4866"/>
    <w:rsid w:val="006C4406"/>
    <w:rsid w:val="006F4F14"/>
    <w:rsid w:val="00767645"/>
    <w:rsid w:val="00772A04"/>
    <w:rsid w:val="00775DEB"/>
    <w:rsid w:val="007763E5"/>
    <w:rsid w:val="0078004C"/>
    <w:rsid w:val="007840E7"/>
    <w:rsid w:val="007B5E95"/>
    <w:rsid w:val="007E014C"/>
    <w:rsid w:val="007F361C"/>
    <w:rsid w:val="008014B8"/>
    <w:rsid w:val="008050A6"/>
    <w:rsid w:val="0081426E"/>
    <w:rsid w:val="00820477"/>
    <w:rsid w:val="00826688"/>
    <w:rsid w:val="00844BDC"/>
    <w:rsid w:val="008633E1"/>
    <w:rsid w:val="00891483"/>
    <w:rsid w:val="008B0870"/>
    <w:rsid w:val="008C171F"/>
    <w:rsid w:val="008E7FC4"/>
    <w:rsid w:val="0090576F"/>
    <w:rsid w:val="00915DA3"/>
    <w:rsid w:val="009323E8"/>
    <w:rsid w:val="0095545C"/>
    <w:rsid w:val="0098658B"/>
    <w:rsid w:val="00987ACD"/>
    <w:rsid w:val="00996EB5"/>
    <w:rsid w:val="009A2BDF"/>
    <w:rsid w:val="009B2796"/>
    <w:rsid w:val="009C0CF0"/>
    <w:rsid w:val="009C2654"/>
    <w:rsid w:val="009E2E7B"/>
    <w:rsid w:val="00A04E44"/>
    <w:rsid w:val="00A80939"/>
    <w:rsid w:val="00A90513"/>
    <w:rsid w:val="00AA3A02"/>
    <w:rsid w:val="00AB1F0D"/>
    <w:rsid w:val="00AE4B13"/>
    <w:rsid w:val="00AE4F97"/>
    <w:rsid w:val="00AE6810"/>
    <w:rsid w:val="00B02DA1"/>
    <w:rsid w:val="00B02FB7"/>
    <w:rsid w:val="00B20CCB"/>
    <w:rsid w:val="00B5445D"/>
    <w:rsid w:val="00B71422"/>
    <w:rsid w:val="00B82CC6"/>
    <w:rsid w:val="00B84FF3"/>
    <w:rsid w:val="00B86BF3"/>
    <w:rsid w:val="00BA1752"/>
    <w:rsid w:val="00BC4D40"/>
    <w:rsid w:val="00BC6F19"/>
    <w:rsid w:val="00BD4DF0"/>
    <w:rsid w:val="00BE354B"/>
    <w:rsid w:val="00BF55D9"/>
    <w:rsid w:val="00C1713E"/>
    <w:rsid w:val="00C60630"/>
    <w:rsid w:val="00CC3E88"/>
    <w:rsid w:val="00CE0D32"/>
    <w:rsid w:val="00CE729A"/>
    <w:rsid w:val="00CF69A1"/>
    <w:rsid w:val="00D0561E"/>
    <w:rsid w:val="00D07D76"/>
    <w:rsid w:val="00D109C5"/>
    <w:rsid w:val="00D17F6F"/>
    <w:rsid w:val="00D22534"/>
    <w:rsid w:val="00D25863"/>
    <w:rsid w:val="00D44A97"/>
    <w:rsid w:val="00D648F8"/>
    <w:rsid w:val="00D659FC"/>
    <w:rsid w:val="00DA4B72"/>
    <w:rsid w:val="00DC02DE"/>
    <w:rsid w:val="00DE3FE6"/>
    <w:rsid w:val="00DF3C28"/>
    <w:rsid w:val="00E01AAF"/>
    <w:rsid w:val="00E23B4F"/>
    <w:rsid w:val="00E24BA3"/>
    <w:rsid w:val="00E333F7"/>
    <w:rsid w:val="00E469D0"/>
    <w:rsid w:val="00E86106"/>
    <w:rsid w:val="00E91C00"/>
    <w:rsid w:val="00EA7DF2"/>
    <w:rsid w:val="00EB0837"/>
    <w:rsid w:val="00EB7C12"/>
    <w:rsid w:val="00EC1A64"/>
    <w:rsid w:val="00EC73E7"/>
    <w:rsid w:val="00ED3838"/>
    <w:rsid w:val="00ED72B1"/>
    <w:rsid w:val="00F038A6"/>
    <w:rsid w:val="00F123A0"/>
    <w:rsid w:val="00F267A9"/>
    <w:rsid w:val="00F3780A"/>
    <w:rsid w:val="00F44D3A"/>
    <w:rsid w:val="00F81197"/>
    <w:rsid w:val="00F9560C"/>
    <w:rsid w:val="00FA3A6D"/>
    <w:rsid w:val="00FA4D04"/>
    <w:rsid w:val="00FB7AD7"/>
    <w:rsid w:val="00FC3F8F"/>
    <w:rsid w:val="00FC6704"/>
    <w:rsid w:val="00FD3BB4"/>
    <w:rsid w:val="00FF13CE"/>
    <w:rsid w:val="35FC77C6"/>
    <w:rsid w:val="49FB11F2"/>
    <w:rsid w:val="4AFD4BF3"/>
    <w:rsid w:val="4C8C4F4D"/>
    <w:rsid w:val="5832275B"/>
    <w:rsid w:val="63421FBA"/>
    <w:rsid w:val="642542AE"/>
    <w:rsid w:val="6F790FC9"/>
    <w:rsid w:val="7EA21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5"/>
    <w:semiHidden/>
    <w:unhideWhenUsed/>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FollowedHyperlink"/>
    <w:basedOn w:val="8"/>
    <w:semiHidden/>
    <w:unhideWhenUsed/>
    <w:qFormat/>
    <w:uiPriority w:val="99"/>
    <w:rPr>
      <w:color w:val="954F72"/>
      <w:u w:val="single"/>
    </w:rPr>
  </w:style>
  <w:style w:type="character" w:styleId="10">
    <w:name w:val="Hyperlink"/>
    <w:basedOn w:val="8"/>
    <w:semiHidden/>
    <w:unhideWhenUsed/>
    <w:uiPriority w:val="99"/>
    <w:rPr>
      <w:color w:val="0563C1" w:themeColor="hyperlink"/>
      <w:u w:val="single"/>
    </w:rPr>
  </w:style>
  <w:style w:type="paragraph" w:styleId="11">
    <w:name w:val="List Paragraph"/>
    <w:basedOn w:val="1"/>
    <w:qFormat/>
    <w:uiPriority w:val="34"/>
    <w:pPr>
      <w:ind w:firstLine="420" w:firstLineChars="200"/>
    </w:pPr>
  </w:style>
  <w:style w:type="character" w:customStyle="1" w:styleId="12">
    <w:name w:val="日期 Char"/>
    <w:basedOn w:val="8"/>
    <w:link w:val="2"/>
    <w:semiHidden/>
    <w:qFormat/>
    <w:uiPriority w:val="99"/>
  </w:style>
  <w:style w:type="character" w:customStyle="1" w:styleId="13">
    <w:name w:val="页眉 Char"/>
    <w:basedOn w:val="8"/>
    <w:link w:val="5"/>
    <w:qFormat/>
    <w:uiPriority w:val="99"/>
    <w:rPr>
      <w:sz w:val="18"/>
      <w:szCs w:val="18"/>
    </w:rPr>
  </w:style>
  <w:style w:type="character" w:customStyle="1" w:styleId="14">
    <w:name w:val="页脚 Char"/>
    <w:basedOn w:val="8"/>
    <w:link w:val="4"/>
    <w:uiPriority w:val="99"/>
    <w:rPr>
      <w:sz w:val="18"/>
      <w:szCs w:val="18"/>
    </w:rPr>
  </w:style>
  <w:style w:type="character" w:customStyle="1" w:styleId="15">
    <w:name w:val="批注框文本 Char"/>
    <w:basedOn w:val="8"/>
    <w:link w:val="3"/>
    <w:semiHidden/>
    <w:qFormat/>
    <w:uiPriority w:val="99"/>
    <w:rPr>
      <w:sz w:val="18"/>
      <w:szCs w:val="18"/>
    </w:rPr>
  </w:style>
  <w:style w:type="paragraph" w:customStyle="1" w:styleId="16">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7">
    <w:name w:val="xl63"/>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8">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1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2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25">
    <w:name w:val="xl71"/>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6">
    <w:name w:val="xl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7">
    <w:name w:val="xl73"/>
    <w:basedOn w:val="1"/>
    <w:qFormat/>
    <w:uiPriority w:val="0"/>
    <w:pPr>
      <w:widowControl/>
      <w:pBdr>
        <w:top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8">
    <w:name w:val="xl7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9">
    <w:name w:val="xl75"/>
    <w:basedOn w:val="1"/>
    <w:uiPriority w:val="0"/>
    <w:pPr>
      <w:widowControl/>
      <w:pBdr>
        <w:top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0">
    <w:name w:val="xl7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1">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2">
    <w:name w:val="xl7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D3813B-13C8-4DA1-AF7F-BB1EE0715AD2}">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14</Pages>
  <Words>4806</Words>
  <Characters>5347</Characters>
  <Lines>55</Lines>
  <Paragraphs>15</Paragraphs>
  <TotalTime>7046356</TotalTime>
  <ScaleCrop>false</ScaleCrop>
  <LinksUpToDate>false</LinksUpToDate>
  <CharactersWithSpaces>5678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2022-07-08T06:00:00Z</dcterms:created>
  <dc:creator>zxdwmz</dc:creator>
  <cp:lastModifiedBy>姑娘 你要努力</cp:lastModifiedBy>
  <cp:lastPrinted>2023-05-26T09:20:00Z</cp:lastPrinted>
  <dcterms:modified xsi:type="dcterms:W3CDTF">2023-05-31T07:00:36Z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3181F5F8E0B349E4842B21C31A234305</vt:lpwstr>
  </property>
</Properties>
</file>