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0DE" w:rsidRPr="006A014B" w:rsidRDefault="00D210DE" w:rsidP="00D210DE">
      <w:pPr>
        <w:widowControl/>
        <w:spacing w:line="560" w:lineRule="exact"/>
        <w:jc w:val="center"/>
        <w:outlineLvl w:val="0"/>
        <w:rPr>
          <w:rFonts w:ascii="方正小标宋简体" w:eastAsia="方正小标宋简体" w:hAnsi="仿宋" w:cs="宋体" w:hint="eastAsia"/>
          <w:b/>
          <w:bCs/>
          <w:color w:val="2F2F2E"/>
          <w:kern w:val="36"/>
          <w:sz w:val="44"/>
          <w:szCs w:val="44"/>
        </w:rPr>
      </w:pPr>
      <w:r w:rsidRPr="006A014B">
        <w:rPr>
          <w:rFonts w:ascii="方正小标宋简体" w:eastAsia="方正小标宋简体" w:hAnsi="仿宋" w:cs="宋体" w:hint="eastAsia"/>
          <w:b/>
          <w:bCs/>
          <w:color w:val="2F2F2E"/>
          <w:kern w:val="36"/>
          <w:sz w:val="44"/>
          <w:szCs w:val="44"/>
        </w:rPr>
        <w:t>陕西省教育厅陕西省人民政府教育督导委员会办公室关于印发《陕西省第四轮“316工程”学校高质量发展督导评价实施方案》的通知</w:t>
      </w:r>
    </w:p>
    <w:p w:rsidR="00D210DE" w:rsidRPr="00D210DE" w:rsidRDefault="00D210DE" w:rsidP="00D210DE">
      <w:pPr>
        <w:widowControl/>
        <w:spacing w:line="560" w:lineRule="exact"/>
        <w:jc w:val="center"/>
        <w:rPr>
          <w:rFonts w:ascii="仿宋" w:eastAsia="仿宋" w:hAnsi="仿宋" w:cs="宋体"/>
          <w:color w:val="333333"/>
          <w:kern w:val="0"/>
          <w:sz w:val="32"/>
          <w:szCs w:val="32"/>
        </w:rPr>
      </w:pPr>
      <w:r w:rsidRPr="00D210DE">
        <w:rPr>
          <w:rFonts w:ascii="仿宋" w:eastAsia="仿宋" w:hAnsi="仿宋" w:cs="宋体"/>
          <w:color w:val="333333"/>
          <w:kern w:val="0"/>
          <w:sz w:val="32"/>
          <w:szCs w:val="32"/>
        </w:rPr>
        <w:t>陕政教督办〔2022〕32号</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仿宋" w:eastAsia="仿宋" w:hAnsi="仿宋" w:cs="宋体"/>
          <w:color w:val="333333"/>
          <w:kern w:val="0"/>
          <w:sz w:val="32"/>
          <w:szCs w:val="32"/>
        </w:rPr>
        <w:t>各设区市教育局、市政府教育督导委员会办公室，杨凌示范区教育局，韩城市教育局、市政府教育督导委员会办公室，神木市、府谷县教育和体育局、市（县）政府教育督导委员会办公室，厅属有关单位：</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为全面贯彻党的教育方针，不断提高教育质量，努力办好人民满意的教育，根据国务院《教育督导条例》《中共陕西省委 陕西省人民政府关于印发贯彻落实〈深化新时代教育评价改革总体方案〉若干措施的通知》等有关文件精神，在总结前三轮“316工程”督导评估工作的基础上，省教育厅、省政府教育督导委员会办公室决定启动实施第四轮“316工程”学校高质量发展督导评价工作。现将《陕西省第四轮“316工程”学校高质量发展督导评价实施方案》印发你们，请结合实际精心部署，认真实施。</w:t>
      </w:r>
    </w:p>
    <w:p w:rsidR="00D210DE" w:rsidRPr="00D210DE" w:rsidRDefault="00D210DE" w:rsidP="00D210DE">
      <w:pPr>
        <w:widowControl/>
        <w:shd w:val="clear" w:color="auto" w:fill="FFFFFF"/>
        <w:spacing w:line="560" w:lineRule="exact"/>
        <w:jc w:val="righ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陕西省教育厅</w:t>
      </w:r>
      <w:r w:rsidRPr="00D210DE">
        <w:rPr>
          <w:rFonts w:ascii="仿宋" w:eastAsia="仿宋" w:hAnsi="仿宋" w:cs="宋体"/>
          <w:color w:val="333333"/>
          <w:kern w:val="0"/>
          <w:sz w:val="32"/>
          <w:szCs w:val="32"/>
        </w:rPr>
        <w:br/>
        <w:t>陕西省人民政府教育督导委员会办公室</w:t>
      </w:r>
    </w:p>
    <w:p w:rsidR="00D210DE" w:rsidRPr="00D210DE" w:rsidRDefault="00D210DE" w:rsidP="00D210DE">
      <w:pPr>
        <w:widowControl/>
        <w:shd w:val="clear" w:color="auto" w:fill="FFFFFF"/>
        <w:spacing w:line="560" w:lineRule="exact"/>
        <w:jc w:val="righ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 xml:space="preserve"> 2022年9月8日</w:t>
      </w:r>
    </w:p>
    <w:p w:rsidR="00D210DE" w:rsidRDefault="00D210DE" w:rsidP="00D210DE">
      <w:pPr>
        <w:widowControl/>
        <w:shd w:val="clear" w:color="auto" w:fill="FFFFFF"/>
        <w:spacing w:line="560" w:lineRule="exact"/>
        <w:jc w:val="left"/>
        <w:rPr>
          <w:rFonts w:ascii="Calibri" w:eastAsia="仿宋" w:hAnsi="Calibri" w:cs="Calibri"/>
          <w:color w:val="333333"/>
          <w:kern w:val="0"/>
          <w:sz w:val="32"/>
          <w:szCs w:val="32"/>
        </w:rPr>
      </w:pPr>
      <w:r w:rsidRPr="00D210DE">
        <w:rPr>
          <w:rFonts w:ascii="Calibri" w:eastAsia="仿宋" w:hAnsi="Calibri" w:cs="Calibri"/>
          <w:color w:val="333333"/>
          <w:kern w:val="0"/>
          <w:sz w:val="32"/>
          <w:szCs w:val="32"/>
        </w:rPr>
        <w:t>      </w:t>
      </w:r>
    </w:p>
    <w:p w:rsidR="00D210DE" w:rsidRDefault="00D210DE" w:rsidP="00D210DE">
      <w:pPr>
        <w:widowControl/>
        <w:shd w:val="clear" w:color="auto" w:fill="FFFFFF"/>
        <w:spacing w:line="560" w:lineRule="exact"/>
        <w:jc w:val="left"/>
        <w:rPr>
          <w:rFonts w:ascii="Calibri" w:eastAsia="仿宋" w:hAnsi="Calibri" w:cs="Calibri"/>
          <w:color w:val="333333"/>
          <w:kern w:val="0"/>
          <w:sz w:val="32"/>
          <w:szCs w:val="32"/>
        </w:rPr>
      </w:pPr>
    </w:p>
    <w:p w:rsidR="00D210DE" w:rsidRPr="00D210DE" w:rsidRDefault="00D210DE" w:rsidP="00D210DE">
      <w:pPr>
        <w:widowControl/>
        <w:shd w:val="clear" w:color="auto" w:fill="FFFFFF"/>
        <w:spacing w:line="560" w:lineRule="exact"/>
        <w:jc w:val="left"/>
        <w:rPr>
          <w:rFonts w:ascii="仿宋" w:eastAsia="仿宋" w:hAnsi="仿宋" w:cs="宋体" w:hint="eastAsia"/>
          <w:color w:val="333333"/>
          <w:kern w:val="0"/>
          <w:sz w:val="32"/>
          <w:szCs w:val="32"/>
        </w:rPr>
      </w:pPr>
    </w:p>
    <w:p w:rsidR="00D210DE" w:rsidRDefault="00D210DE" w:rsidP="00D210DE">
      <w:pPr>
        <w:widowControl/>
        <w:shd w:val="clear" w:color="auto" w:fill="FFFFFF"/>
        <w:spacing w:line="560" w:lineRule="exact"/>
        <w:jc w:val="center"/>
        <w:rPr>
          <w:rFonts w:ascii="方正小标宋简体" w:eastAsia="方正小标宋简体" w:hAnsi="仿宋" w:cs="宋体"/>
          <w:b/>
          <w:bCs/>
          <w:color w:val="333333"/>
          <w:kern w:val="0"/>
          <w:sz w:val="32"/>
          <w:szCs w:val="32"/>
        </w:rPr>
      </w:pPr>
      <w:r w:rsidRPr="006A014B">
        <w:rPr>
          <w:rFonts w:ascii="方正小标宋简体" w:eastAsia="方正小标宋简体" w:hAnsi="仿宋" w:cs="宋体" w:hint="eastAsia"/>
          <w:b/>
          <w:bCs/>
          <w:color w:val="333333"/>
          <w:kern w:val="0"/>
          <w:sz w:val="32"/>
          <w:szCs w:val="32"/>
        </w:rPr>
        <w:lastRenderedPageBreak/>
        <w:t>陕西省第四轮“316工程”学校高质量发展督导评价实施方案</w:t>
      </w:r>
    </w:p>
    <w:p w:rsidR="006A014B" w:rsidRPr="006A014B" w:rsidRDefault="006A014B" w:rsidP="00D210DE">
      <w:pPr>
        <w:widowControl/>
        <w:shd w:val="clear" w:color="auto" w:fill="FFFFFF"/>
        <w:spacing w:line="560" w:lineRule="exact"/>
        <w:jc w:val="center"/>
        <w:rPr>
          <w:rFonts w:ascii="方正小标宋简体" w:eastAsia="方正小标宋简体" w:hAnsi="仿宋" w:cs="宋体" w:hint="eastAsia"/>
          <w:color w:val="333333"/>
          <w:kern w:val="0"/>
          <w:sz w:val="32"/>
          <w:szCs w:val="32"/>
        </w:rPr>
      </w:pP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为全面贯彻党的教育方针，发挥教育督导在推动新时代教育改革中的职能作用，构建富有时代特征、陕西特色的基础教育督导评价体系，根据《中共陕西省委 陕西省人民政府关于印发贯彻落实〈深化新时代教育评价改革总体方案〉若干措施的通知》《中共陕西省委办公厅 陕西省人民政府办公厅印发〈关于深化新时代教育督导体制机制改革的实施方案〉的通知》等有关文件精神，结合我省实际，制定本实施方案。</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一、实施背景</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当前，我省已全面实现县域义务教育基本均衡发展，基本完成“双高双普”工作任务，各级各类学校办学条件、管理水平和教育教学质量大幅度提高。但随着经济社会发展，教育资源配置不均衡、不充分的矛盾依然存在，城乡之间、地域之间、学校之间各类教育均衡协调发展水平仍有差距，一些地方和学校仍存在重智育轻德育、重分数轻素质等不规范办学行为，优质教育资源供给还不能满足人民群众的需求。落实立德树人根本任务，规范各级各类学校办学（园）行为，提升教学（保教）质量，促进教育高质量发展，为群众提供更多优质教育资源和更高质量的教育服务是当前我省教育改革发展的重要目标和任务。</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学校督导评估“316工程”是陕西省教育督导体系中督学职能作用发挥的长效机制，从2009年开始，我省围绕学校发展水平、素质教育、教育质量提升等主题，已连续12年实施三</w:t>
      </w:r>
      <w:r w:rsidRPr="00D210DE">
        <w:rPr>
          <w:rFonts w:ascii="仿宋" w:eastAsia="仿宋" w:hAnsi="仿宋" w:cs="宋体"/>
          <w:color w:val="333333"/>
          <w:kern w:val="0"/>
          <w:sz w:val="32"/>
          <w:szCs w:val="32"/>
        </w:rPr>
        <w:lastRenderedPageBreak/>
        <w:t>轮，成为陕西教育督导的有效工作载体和特色名片，极大改善了办学条件，提高了办学水平，推进了素质教育发展。实施第四轮“316工程”，全面统筹国家和省上相关政策文件要求，将前三轮督导评估经验与教育评价工作相融合，对于我们立足陕西实际，构建教育高质量发展评价体系，推动我省教育质量整体提升具有重大意义。</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二、总体思路</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（一）指导思想</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以习近平新时代中国特色社会主义思想为指导，全面贯彻党的教育方针，坚持社会主义办学方向，落实立德树人根本任务，系统推进教育评价，监督指导学校规范办学行为，发展素质教育，提高教育质量，减轻学生过重课业负担，树立科学的教育发展观、人才成长观，推动构建高质量教育体系，为办好人民满意教育发挥督导保障作用。</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（二）基本原则</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1.</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坚持立德树人。</w:t>
      </w:r>
      <w:r w:rsidRPr="00D210DE">
        <w:rPr>
          <w:rFonts w:ascii="仿宋" w:eastAsia="仿宋" w:hAnsi="仿宋" w:cs="宋体"/>
          <w:color w:val="333333"/>
          <w:kern w:val="0"/>
          <w:sz w:val="32"/>
          <w:szCs w:val="32"/>
        </w:rPr>
        <w:t>构建以立德树人为根本标准的评价体系，加强对学校办学方向、育人过程、学生发展、内涵管理、质量保障体系等方面的评价，引导学校构建“五育并举”、全面发展的育人体系，为党育人，为国育才。</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2.</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坚持推进改革。</w:t>
      </w:r>
      <w:r w:rsidRPr="00D210DE">
        <w:rPr>
          <w:rFonts w:ascii="仿宋" w:eastAsia="仿宋" w:hAnsi="仿宋" w:cs="宋体"/>
          <w:color w:val="333333"/>
          <w:kern w:val="0"/>
          <w:sz w:val="32"/>
          <w:szCs w:val="32"/>
        </w:rPr>
        <w:t>紧扣教育高质量发展主线，以评价理念引领改革、以评价举措落实改革、以评价标准检验改革，实现教育高质量内涵式发展。</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lastRenderedPageBreak/>
        <w:t>      </w:t>
      </w:r>
      <w:r w:rsidRPr="00D210DE">
        <w:rPr>
          <w:rFonts w:ascii="仿宋" w:eastAsia="仿宋" w:hAnsi="仿宋" w:cs="宋体"/>
          <w:b/>
          <w:bCs/>
          <w:color w:val="333333"/>
          <w:kern w:val="0"/>
          <w:sz w:val="32"/>
          <w:szCs w:val="32"/>
        </w:rPr>
        <w:t>3.</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坚持分类指导。</w:t>
      </w:r>
      <w:r w:rsidRPr="00D210DE">
        <w:rPr>
          <w:rFonts w:ascii="仿宋" w:eastAsia="仿宋" w:hAnsi="仿宋" w:cs="宋体"/>
          <w:color w:val="333333"/>
          <w:kern w:val="0"/>
          <w:sz w:val="32"/>
          <w:szCs w:val="32"/>
        </w:rPr>
        <w:t>根据各学段基本特点和各类教育发展改革的重点任务，实施分级分类评估，精准评价，引导和激励学校各展所长、特色发展。</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4.</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坚持以评促建。</w:t>
      </w:r>
      <w:r w:rsidRPr="00D210DE">
        <w:rPr>
          <w:rFonts w:ascii="仿宋" w:eastAsia="仿宋" w:hAnsi="仿宋" w:cs="宋体"/>
          <w:color w:val="333333"/>
          <w:kern w:val="0"/>
          <w:sz w:val="32"/>
          <w:szCs w:val="32"/>
        </w:rPr>
        <w:t>坚持公平、公正、公开的督导评价原则，高效发挥诊断、引导、改进、激励功能，促进政府以及相关部门、学校转变观念，强化管理，形成加快学校发展的强大合力。</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5.</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坚持问题导向。</w:t>
      </w:r>
      <w:r w:rsidRPr="00D210DE">
        <w:rPr>
          <w:rFonts w:ascii="仿宋" w:eastAsia="仿宋" w:hAnsi="仿宋" w:cs="宋体"/>
          <w:color w:val="333333"/>
          <w:kern w:val="0"/>
          <w:sz w:val="32"/>
          <w:szCs w:val="32"/>
        </w:rPr>
        <w:t>建立问题清单，强化评价问题结果运用，推动落实各级各方责任，建立持续改进长效机制，形成良好教育生态。</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（三）主要目标</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通过3-5年规划实施，对全省中职以下学校（幼儿园）进行1次全面督导评价，坚持“两个全覆盖”（覆盖每一所中小学校幼儿园、覆盖学校幼儿园工作的各个方面）。到2025年，力争全省70%以上的学校（幼儿园）达到“316工程”评价指标B级以上水平。努力构建更加科学健全的教育评价体系，为推动陕西教育高质量发展提供有力支撑。</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三、督导评价范围</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在一个评价周期内，对所有基础教育学校（幼儿园、义务教育、普通高中、中等职业学校，暂不包括特殊教育学校）进行一次综合督导评价。</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四、督导评价内容</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第四轮“316工程”的主题为教育高质量发展，主要内容包括坚持社会主义办学（园）方向、优化内部管理、提高教</w:t>
      </w:r>
      <w:r w:rsidRPr="00D210DE">
        <w:rPr>
          <w:rFonts w:ascii="仿宋" w:eastAsia="仿宋" w:hAnsi="仿宋" w:cs="宋体"/>
          <w:color w:val="333333"/>
          <w:kern w:val="0"/>
          <w:sz w:val="32"/>
          <w:szCs w:val="32"/>
        </w:rPr>
        <w:lastRenderedPageBreak/>
        <w:t>（保）育质量、建设高素质专业化教师队伍、促进学生（幼儿）全面发展、提升办学（园）条件、彰显发展特色等7个方面。评价指标满分共1000分，其中省级基础性规范性指标占900分，市、县结合本地实际制定地方性评价指标，占100分（原则上市级制定普通高中、中等职业学校指标，县级制定义务教育学校和幼儿园指标）。单列增值性评价评分标准。督导评价等次分为A、B、C、D四个等次。（详见附件）</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五、组织实施</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（一）职责分工</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实施第四轮“316工程”是省、市、县（区）三级的共同任务。各级党委教育工作领导小组、政府教育督导委员会要加强统筹协调、宣传引导和督促落实，教育行政部门进行工作指导，教育督导机构牵头组织实施。</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省政府教育督导委员会办公室负责统筹协调，宏观指导，研发评价工具，组织分级培训；对各市实施情况进行督导检查，宣传推广先进经验和典型做法；分年度、分批次统筹开展学校抽样评价；向省政府督导委员会汇报督导评价情况。</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市级教育行政部门会同本级教育督导机构完善地方性评价指标，指导学校按照评价体系规范办学行为，提升教育教学质量，科学运用评价结果。市级教育督导机构在一个评价周期内完成对辖区中等职业、普通高中和市属中小学校（幼儿园）督导评价，对所辖县（区）实施“316工程”情况进行督导检查，每年向本级党委教育工作领导小组和政府汇报督导评价工作开展情况，并报省级人民政府教育督导机构备案。</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lastRenderedPageBreak/>
        <w:t>      </w:t>
      </w:r>
      <w:r w:rsidRPr="00D210DE">
        <w:rPr>
          <w:rFonts w:ascii="仿宋" w:eastAsia="仿宋" w:hAnsi="仿宋" w:cs="宋体"/>
          <w:color w:val="333333"/>
          <w:kern w:val="0"/>
          <w:sz w:val="32"/>
          <w:szCs w:val="32"/>
        </w:rPr>
        <w:t>县（区）级教育行政部门和教育督导机构制定本辖区评价规划和实施方案，完善地方性评价指标，依据第四轮“316工程”指标体系，对县（区）所属中小学校（幼儿园）进行指导提升，按程序组织督导评价。</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（二）督导评价程序</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1.</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自查自评。</w:t>
      </w:r>
      <w:r w:rsidRPr="00D210DE">
        <w:rPr>
          <w:rFonts w:ascii="仿宋" w:eastAsia="仿宋" w:hAnsi="仿宋" w:cs="宋体"/>
          <w:color w:val="333333"/>
          <w:kern w:val="0"/>
          <w:sz w:val="32"/>
          <w:szCs w:val="32"/>
        </w:rPr>
        <w:t>教育督导机构编制学校（幼儿园）自评指导手册，安排责任督学指导学校（幼儿园）对照评价标准，每年进行自我评估、自我诊断、自我改进，确定自评等次。制定学校（幼儿园）高质量发展工作规划，向主管教育督导机构报送自查自评报告和整改计划。</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2.</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制定计划。</w:t>
      </w:r>
      <w:r w:rsidRPr="00D210DE">
        <w:rPr>
          <w:rFonts w:ascii="仿宋" w:eastAsia="仿宋" w:hAnsi="仿宋" w:cs="宋体"/>
          <w:color w:val="333333"/>
          <w:kern w:val="0"/>
          <w:sz w:val="32"/>
          <w:szCs w:val="32"/>
        </w:rPr>
        <w:t>教育督导机构根据学校（幼儿园）自评情况，综合考虑学校办学条件、学生来源、地理位置、初评等次、新建撤并等因素，分级分类确定学校评价类型及数量，体现同类别学校同目标评价。制定第四轮“316工程”督导评价工作规划和分年度计划，原则上每年评价学校数量一般不少于辖区内学校总数的1/3。对纳入当年督导评价计划的学校，年初面向社会公示，并同步收集意见建议。</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3.</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过程指导。</w:t>
      </w:r>
      <w:r w:rsidRPr="00D210DE">
        <w:rPr>
          <w:rFonts w:ascii="仿宋" w:eastAsia="仿宋" w:hAnsi="仿宋" w:cs="宋体"/>
          <w:color w:val="333333"/>
          <w:kern w:val="0"/>
          <w:sz w:val="32"/>
          <w:szCs w:val="32"/>
        </w:rPr>
        <w:t>督学责任区按照分年度督导评价计划，依据评价标准，组织责任区督学对学校进行过程性指导。制定问题清单，提出整改意见，督促整改落实。</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4.</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实地督导。</w:t>
      </w:r>
      <w:r w:rsidRPr="00D210DE">
        <w:rPr>
          <w:rFonts w:ascii="仿宋" w:eastAsia="仿宋" w:hAnsi="仿宋" w:cs="宋体"/>
          <w:color w:val="333333"/>
          <w:kern w:val="0"/>
          <w:sz w:val="32"/>
          <w:szCs w:val="32"/>
        </w:rPr>
        <w:t>教育督导机构根据学校规模，组建学校督导评价组，对学校进行实地评价，原则上每所学校入校评价时间不少于2天。督导评价前，向被督导评价学校印发通知书，并在评价前10天向社会公告督导评价主要内容，广泛征求各级</w:t>
      </w:r>
      <w:r w:rsidRPr="00D210DE">
        <w:rPr>
          <w:rFonts w:ascii="仿宋" w:eastAsia="仿宋" w:hAnsi="仿宋" w:cs="宋体"/>
          <w:color w:val="333333"/>
          <w:kern w:val="0"/>
          <w:sz w:val="32"/>
          <w:szCs w:val="32"/>
        </w:rPr>
        <w:lastRenderedPageBreak/>
        <w:t>各方意见。在督导评价过程中，分组采取听取汇报、座谈访问、实地检查、查阅资料、推门听课、学科测试等方式全面收集信息，对教师、家长和学生分别采取随访、座谈、问卷等方式，了解对学校工作的意见和建议。在督导评价结束15个工作日内向学校印发督评意见书。对“316工程”督导评价中发现的重大问题和共性问题形成专项督导报告，向属地党委教育工作领导小组和政府汇报，评价结果以适当形式向社会公开。</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5.</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回访督导。</w:t>
      </w:r>
      <w:r w:rsidRPr="00D210DE">
        <w:rPr>
          <w:rFonts w:ascii="仿宋" w:eastAsia="仿宋" w:hAnsi="仿宋" w:cs="宋体"/>
          <w:color w:val="333333"/>
          <w:kern w:val="0"/>
          <w:sz w:val="32"/>
          <w:szCs w:val="32"/>
        </w:rPr>
        <w:t>教育督导委员会办公室、教育行政主管部门根据督导意见确定的整改时限，组织对辖区内学校整改情况进行回访督导，督促指导学校整改提升。</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（三）时间安排</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1.</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宣传和规划阶段（2022年）。</w:t>
      </w:r>
      <w:r w:rsidRPr="00D210DE">
        <w:rPr>
          <w:rFonts w:ascii="仿宋" w:eastAsia="仿宋" w:hAnsi="仿宋" w:cs="宋体"/>
          <w:color w:val="333333"/>
          <w:kern w:val="0"/>
          <w:sz w:val="32"/>
          <w:szCs w:val="32"/>
        </w:rPr>
        <w:t>市、县结合本地实际，科学编制地方性指标、实施细则和工作规划。各级各类学校加强指标学习，制定本学校高质量发展工作规划。</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2.</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具体实施阶段（2023—2025年）。</w:t>
      </w:r>
      <w:r w:rsidRPr="00D210DE">
        <w:rPr>
          <w:rFonts w:ascii="仿宋" w:eastAsia="仿宋" w:hAnsi="仿宋" w:cs="宋体"/>
          <w:color w:val="333333"/>
          <w:kern w:val="0"/>
          <w:sz w:val="32"/>
          <w:szCs w:val="32"/>
        </w:rPr>
        <w:t>各市、县（区）按照职责任务分工，分级组织实施，第四轮“316工程”督导评价与中小学校（园）长任期综合督导同步进行（具体文件另行下发），严格按照计划完成督评任务。</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3.</w:t>
      </w:r>
      <w:r w:rsidRPr="00D210DE">
        <w:rPr>
          <w:rFonts w:ascii="Calibri" w:eastAsia="仿宋" w:hAnsi="Calibri" w:cs="Calibri"/>
          <w:b/>
          <w:bCs/>
          <w:color w:val="333333"/>
          <w:kern w:val="0"/>
          <w:sz w:val="32"/>
          <w:szCs w:val="32"/>
        </w:rPr>
        <w:t> </w:t>
      </w:r>
      <w:r w:rsidRPr="00D210DE">
        <w:rPr>
          <w:rFonts w:ascii="仿宋" w:eastAsia="仿宋" w:hAnsi="仿宋" w:cs="宋体"/>
          <w:b/>
          <w:bCs/>
          <w:color w:val="333333"/>
          <w:kern w:val="0"/>
          <w:sz w:val="32"/>
          <w:szCs w:val="32"/>
        </w:rPr>
        <w:t>整改提升和全面总结阶段（2026年）</w:t>
      </w:r>
      <w:r w:rsidRPr="00D210DE">
        <w:rPr>
          <w:rFonts w:ascii="仿宋" w:eastAsia="仿宋" w:hAnsi="仿宋" w:cs="宋体"/>
          <w:color w:val="333333"/>
          <w:kern w:val="0"/>
          <w:sz w:val="32"/>
          <w:szCs w:val="32"/>
        </w:rPr>
        <w:t>。各市、县（区）对第四轮“316工程”督导评估工作进行全面总结，逐级报送工作总结和典型做法。省政府教育督导委员会办公室对各市组织实施情况进行评估验收。</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六、评价方式</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lastRenderedPageBreak/>
        <w:t>      </w:t>
      </w:r>
      <w:r w:rsidRPr="00D210DE">
        <w:rPr>
          <w:rFonts w:ascii="仿宋" w:eastAsia="仿宋" w:hAnsi="仿宋" w:cs="宋体"/>
          <w:b/>
          <w:bCs/>
          <w:color w:val="333333"/>
          <w:kern w:val="0"/>
          <w:sz w:val="32"/>
          <w:szCs w:val="32"/>
        </w:rPr>
        <w:t>（一）结果评价与增值评价相结合。</w:t>
      </w:r>
      <w:r w:rsidRPr="00D210DE">
        <w:rPr>
          <w:rFonts w:ascii="仿宋" w:eastAsia="仿宋" w:hAnsi="仿宋" w:cs="宋体"/>
          <w:color w:val="333333"/>
          <w:kern w:val="0"/>
          <w:sz w:val="32"/>
          <w:szCs w:val="32"/>
        </w:rPr>
        <w:t>坚持静态现状认可与动态发展评价相结合，终端结果认可与过程考察相结合，定量测评与定性分析相结合。关注学校发展、教师发展、学生发展，科学判断各级学校为提高办学水平所付出的努力和取得的成效。采用动态增量的方式，对学校进行发展性增值性评价。</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（二）综合评价与特色评价相结合。</w:t>
      </w:r>
      <w:r w:rsidRPr="00D210DE">
        <w:rPr>
          <w:rFonts w:ascii="仿宋" w:eastAsia="仿宋" w:hAnsi="仿宋" w:cs="宋体"/>
          <w:color w:val="333333"/>
          <w:kern w:val="0"/>
          <w:sz w:val="32"/>
          <w:szCs w:val="32"/>
        </w:rPr>
        <w:t>既关注县域、学校全面育人整体成效和学生德智体美劳全面发展情况，又注重每一所学校和每一名学生的成长差异性和多样性，促进学校特色发展和学生个性发展。</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（三）自我评价与外部评价相结合。</w:t>
      </w:r>
      <w:r w:rsidRPr="00D210DE">
        <w:rPr>
          <w:rFonts w:ascii="仿宋" w:eastAsia="仿宋" w:hAnsi="仿宋" w:cs="宋体"/>
          <w:color w:val="333333"/>
          <w:kern w:val="0"/>
          <w:sz w:val="32"/>
          <w:szCs w:val="32"/>
        </w:rPr>
        <w:t>在构建多方参与、统筹优化、组织高效的外部评价工作体系的同时，引导学校积极开展常态化自我评价，激发内生办学活力，促进学校及时主动发现问题、解决问题。</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（四）线上评价与线下评价相结合。</w:t>
      </w:r>
      <w:r w:rsidRPr="00D210DE">
        <w:rPr>
          <w:rFonts w:ascii="仿宋" w:eastAsia="仿宋" w:hAnsi="仿宋" w:cs="宋体"/>
          <w:color w:val="333333"/>
          <w:kern w:val="0"/>
          <w:sz w:val="32"/>
          <w:szCs w:val="32"/>
        </w:rPr>
        <w:t>探索科学评价手段，建立常态化评价网络信息平台及数据库，并通过实地调查、观察、访谈等方式，确保结果真实全面、科学有效。</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（五）过程评价与整改提升相结合。</w:t>
      </w:r>
      <w:r w:rsidRPr="00D210DE">
        <w:rPr>
          <w:rFonts w:ascii="仿宋" w:eastAsia="仿宋" w:hAnsi="仿宋" w:cs="宋体"/>
          <w:color w:val="333333"/>
          <w:kern w:val="0"/>
          <w:sz w:val="32"/>
          <w:szCs w:val="32"/>
        </w:rPr>
        <w:t>重视过程性评价，排查薄弱环节，找准问题原因，提出解决举措，发挥以评促建、以评促改作用。实行督查督办和问责制度，持续追踪整改进展，定期回访督导。通过过程性督导和跟踪性评估，推动学校逐步达到评价标准。</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七、结果运用</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（一）中小学校（幼儿园）要将督导评价结果作为学校改进教育教学和管理，提升办学治校和发展素质教育能力的重要</w:t>
      </w:r>
      <w:r w:rsidRPr="00D210DE">
        <w:rPr>
          <w:rFonts w:ascii="仿宋" w:eastAsia="仿宋" w:hAnsi="仿宋" w:cs="宋体"/>
          <w:color w:val="333333"/>
          <w:kern w:val="0"/>
          <w:sz w:val="32"/>
          <w:szCs w:val="32"/>
        </w:rPr>
        <w:lastRenderedPageBreak/>
        <w:t>指导，作为办学情况诊断、教育重大决策和学校评价的重要参考。</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二）各级教育行政部门要将中小学校（幼儿园）督导评价结果作为对学校和校园长年度考核、选优树模、评先晋级、表彰奖励、政策支持、资源配置、民办学校年检、普惠性民办园认定扶持等方面工作的重要依据。</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三）市、县（区）政府每年通报一次督导评价结果，并对提升明显、评价结果较好的学校进行表彰奖励，对督导评价结果不合格、教育教学质量下滑明显的学校，要予以限期整改提升。对校长履职不到位、整改不力的，依据《教育督导问责办法》，对有关责任人进行问责。</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四）省教育厅、省政府教育督导委员会办公室对各市实施工作情况进行通报，市、县（区）从每年评估的A级和整改成效显著的学校中，向上一级推荐教育高质量发展优秀学校，省教育厅、省政府教育督导委员会办公室每年组织一次评估认定。本轮评价结束后，对“316工程”组织优秀单位和个人进行表彰。各市、县（区）要对评价中的优秀学校、优秀校（园）长和先进督学进行表彰奖励。各级政府有关部门要对办学特色鲜明、成效显著、教学质量好、公众满意度高的学校，进行大力宣传推广，发挥示范带动作用。</w:t>
      </w:r>
    </w:p>
    <w:p w:rsidR="00D210DE" w:rsidRPr="006A014B" w:rsidRDefault="00D210DE" w:rsidP="00D210DE">
      <w:pPr>
        <w:widowControl/>
        <w:shd w:val="clear" w:color="auto" w:fill="FFFFFF"/>
        <w:spacing w:line="560" w:lineRule="exact"/>
        <w:jc w:val="left"/>
        <w:rPr>
          <w:rFonts w:ascii="黑体" w:eastAsia="黑体" w:hAnsi="黑体" w:cs="宋体"/>
          <w:color w:val="333333"/>
          <w:kern w:val="0"/>
          <w:sz w:val="32"/>
          <w:szCs w:val="32"/>
        </w:rPr>
      </w:pPr>
      <w:r w:rsidRPr="006A014B">
        <w:rPr>
          <w:rFonts w:ascii="Calibri" w:eastAsia="黑体" w:hAnsi="Calibri" w:cs="Calibri"/>
          <w:b/>
          <w:bCs/>
          <w:color w:val="333333"/>
          <w:kern w:val="0"/>
          <w:sz w:val="32"/>
          <w:szCs w:val="32"/>
        </w:rPr>
        <w:t>      </w:t>
      </w:r>
      <w:r w:rsidRPr="006A014B">
        <w:rPr>
          <w:rFonts w:ascii="黑体" w:eastAsia="黑体" w:hAnsi="黑体" w:cs="宋体"/>
          <w:b/>
          <w:bCs/>
          <w:color w:val="333333"/>
          <w:kern w:val="0"/>
          <w:sz w:val="32"/>
          <w:szCs w:val="32"/>
        </w:rPr>
        <w:t>八、保障措施</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（一）加强组织领导。</w:t>
      </w:r>
      <w:r w:rsidRPr="00D210DE">
        <w:rPr>
          <w:rFonts w:ascii="仿宋" w:eastAsia="仿宋" w:hAnsi="仿宋" w:cs="宋体"/>
          <w:color w:val="333333"/>
          <w:kern w:val="0"/>
          <w:sz w:val="32"/>
          <w:szCs w:val="32"/>
        </w:rPr>
        <w:t>将第四轮“316工程”督导评价纳入地方党委政府、教育部门和学校的重要议事日程，纳入本地深化教育评价改革重要内容，建立党委政府领导、教育行政部门</w:t>
      </w:r>
      <w:r w:rsidRPr="00D210DE">
        <w:rPr>
          <w:rFonts w:ascii="仿宋" w:eastAsia="仿宋" w:hAnsi="仿宋" w:cs="宋体"/>
          <w:color w:val="333333"/>
          <w:kern w:val="0"/>
          <w:sz w:val="32"/>
          <w:szCs w:val="32"/>
        </w:rPr>
        <w:lastRenderedPageBreak/>
        <w:t>牵头、教育督导机构具体组织的评价工作实施机制。要协调有关方面落实职责，解决实施工作中的重大问题。要与各地已经开展的对学校评估评价等工作有效整合，严格控制教育评价活动数量和频次，减少多头评价、重复评价，切实减轻基层和学校负担。</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（二）加强评价保障。</w:t>
      </w:r>
      <w:r w:rsidRPr="00D210DE">
        <w:rPr>
          <w:rFonts w:ascii="仿宋" w:eastAsia="仿宋" w:hAnsi="仿宋" w:cs="宋体"/>
          <w:color w:val="333333"/>
          <w:kern w:val="0"/>
          <w:sz w:val="32"/>
          <w:szCs w:val="32"/>
        </w:rPr>
        <w:t>各级政府要为开展第四轮“316工程”督导评价工作提供必要的经费和条件保障。评价工作经费根据需要足额纳入本级财政预算，及时拨付。加强评价队伍建设，组建主要由督学、教育行政人员、教科研人员、校长、教师和有关专家等组成的高水平、相对稳定的督导评价队伍。加强信息管理平台建设，探索采取政府购买服务方式组织评价，鼓励培育和委托有资质的第三方社会机构、县市区间交叉评价等方式开展学校督导评价工作。</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（三）营造良好氛围。</w:t>
      </w:r>
      <w:r w:rsidRPr="00D210DE">
        <w:rPr>
          <w:rFonts w:ascii="仿宋" w:eastAsia="仿宋" w:hAnsi="仿宋" w:cs="宋体"/>
          <w:color w:val="333333"/>
          <w:kern w:val="0"/>
          <w:sz w:val="32"/>
          <w:szCs w:val="32"/>
        </w:rPr>
        <w:t>要深入解读“316工程”的程序方法、内容要求和指标体系，深刻理解“316工程”的历史传承、精神实质和现实意义，形成推进督导评价改革的工作合力。要通过广播电视、报纸以及新兴媒体等，广泛宣传政策措施，推动树立高质量发展理念。</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b/>
          <w:bCs/>
          <w:color w:val="333333"/>
          <w:kern w:val="0"/>
          <w:sz w:val="32"/>
          <w:szCs w:val="32"/>
        </w:rPr>
        <w:t>（四）严格工作纪律。</w:t>
      </w:r>
      <w:r w:rsidRPr="00D210DE">
        <w:rPr>
          <w:rFonts w:ascii="仿宋" w:eastAsia="仿宋" w:hAnsi="仿宋" w:cs="宋体"/>
          <w:color w:val="333333"/>
          <w:kern w:val="0"/>
          <w:sz w:val="32"/>
          <w:szCs w:val="32"/>
        </w:rPr>
        <w:t>在“316工程”督导评价中，要严格遵守中央八项规定和《陕西省教育督导工作纪律要求》，力戒形式主义，减少不必要的环节，防止以档案材料来评价学校，评价工作要走近老师和学生，走近家长和社会，了解教情民意和意见建议，获取真实信息。评价报告要客观公正、实事求</w:t>
      </w:r>
      <w:r w:rsidRPr="00D210DE">
        <w:rPr>
          <w:rFonts w:ascii="仿宋" w:eastAsia="仿宋" w:hAnsi="仿宋" w:cs="宋体"/>
          <w:color w:val="333333"/>
          <w:kern w:val="0"/>
          <w:sz w:val="32"/>
          <w:szCs w:val="32"/>
        </w:rPr>
        <w:lastRenderedPageBreak/>
        <w:t>是，结合学校实际提出整改建议，力争做到常态化教学环境下的督导评价。</w:t>
      </w:r>
    </w:p>
    <w:p w:rsidR="00D210DE" w:rsidRPr="00D210DE" w:rsidRDefault="00D210DE" w:rsidP="00D210DE">
      <w:pPr>
        <w:widowControl/>
        <w:shd w:val="clear" w:color="auto" w:fill="FFFFFF"/>
        <w:spacing w:line="560" w:lineRule="exact"/>
        <w:jc w:val="left"/>
        <w:rPr>
          <w:rFonts w:ascii="仿宋" w:eastAsia="仿宋" w:hAnsi="仿宋" w:cs="宋体"/>
          <w:color w:val="333333"/>
          <w:kern w:val="0"/>
          <w:sz w:val="32"/>
          <w:szCs w:val="32"/>
        </w:rPr>
      </w:pPr>
      <w:r w:rsidRPr="00D210DE">
        <w:rPr>
          <w:rFonts w:ascii="Calibri" w:eastAsia="仿宋" w:hAnsi="Calibri" w:cs="Calibri"/>
          <w:color w:val="333333"/>
          <w:kern w:val="0"/>
          <w:sz w:val="32"/>
          <w:szCs w:val="32"/>
        </w:rPr>
        <w:t>      </w:t>
      </w:r>
      <w:r w:rsidRPr="00D210DE">
        <w:rPr>
          <w:rFonts w:ascii="仿宋" w:eastAsia="仿宋" w:hAnsi="仿宋" w:cs="宋体"/>
          <w:color w:val="333333"/>
          <w:kern w:val="0"/>
          <w:sz w:val="32"/>
          <w:szCs w:val="32"/>
        </w:rPr>
        <w:t>各地可结合实际，制定第四轮“316工程”督导评价实施细则。</w:t>
      </w:r>
      <w:r w:rsidRPr="00D210DE">
        <w:rPr>
          <w:rFonts w:ascii="仿宋" w:eastAsia="仿宋" w:hAnsi="仿宋" w:cs="宋体"/>
          <w:color w:val="333333"/>
          <w:kern w:val="0"/>
          <w:sz w:val="32"/>
          <w:szCs w:val="32"/>
        </w:rPr>
        <w:br/>
      </w:r>
      <w:r w:rsidRPr="00D210DE">
        <w:rPr>
          <w:rFonts w:ascii="Calibri" w:eastAsia="仿宋" w:hAnsi="Calibri" w:cs="Calibri"/>
          <w:color w:val="333333"/>
          <w:kern w:val="0"/>
          <w:sz w:val="32"/>
          <w:szCs w:val="32"/>
        </w:rPr>
        <w:t> </w:t>
      </w:r>
      <w:bookmarkStart w:id="0" w:name="_GoBack"/>
      <w:bookmarkEnd w:id="0"/>
    </w:p>
    <w:sectPr w:rsidR="00D210DE" w:rsidRPr="00D210DE" w:rsidSect="00D210DE">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51B" w:rsidRDefault="00B6051B" w:rsidP="006A014B">
      <w:r>
        <w:separator/>
      </w:r>
    </w:p>
  </w:endnote>
  <w:endnote w:type="continuationSeparator" w:id="0">
    <w:p w:rsidR="00B6051B" w:rsidRDefault="00B6051B" w:rsidP="006A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51B" w:rsidRDefault="00B6051B" w:rsidP="006A014B">
      <w:r>
        <w:separator/>
      </w:r>
    </w:p>
  </w:footnote>
  <w:footnote w:type="continuationSeparator" w:id="0">
    <w:p w:rsidR="00B6051B" w:rsidRDefault="00B6051B" w:rsidP="006A01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DE"/>
    <w:rsid w:val="006A014B"/>
    <w:rsid w:val="009051EC"/>
    <w:rsid w:val="00B6051B"/>
    <w:rsid w:val="00CA50DA"/>
    <w:rsid w:val="00D2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093B54-2370-4948-B89E-65CD38D83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1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14B"/>
    <w:rPr>
      <w:sz w:val="18"/>
      <w:szCs w:val="18"/>
    </w:rPr>
  </w:style>
  <w:style w:type="paragraph" w:styleId="a4">
    <w:name w:val="footer"/>
    <w:basedOn w:val="a"/>
    <w:link w:val="Char0"/>
    <w:uiPriority w:val="99"/>
    <w:unhideWhenUsed/>
    <w:rsid w:val="006A014B"/>
    <w:pPr>
      <w:tabs>
        <w:tab w:val="center" w:pos="4153"/>
        <w:tab w:val="right" w:pos="8306"/>
      </w:tabs>
      <w:snapToGrid w:val="0"/>
      <w:jc w:val="left"/>
    </w:pPr>
    <w:rPr>
      <w:sz w:val="18"/>
      <w:szCs w:val="18"/>
    </w:rPr>
  </w:style>
  <w:style w:type="character" w:customStyle="1" w:styleId="Char0">
    <w:name w:val="页脚 Char"/>
    <w:basedOn w:val="a0"/>
    <w:link w:val="a4"/>
    <w:uiPriority w:val="99"/>
    <w:rsid w:val="006A01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687738">
      <w:bodyDiv w:val="1"/>
      <w:marLeft w:val="0"/>
      <w:marRight w:val="0"/>
      <w:marTop w:val="0"/>
      <w:marBottom w:val="0"/>
      <w:divBdr>
        <w:top w:val="none" w:sz="0" w:space="0" w:color="auto"/>
        <w:left w:val="none" w:sz="0" w:space="0" w:color="auto"/>
        <w:bottom w:val="none" w:sz="0" w:space="0" w:color="auto"/>
        <w:right w:val="none" w:sz="0" w:space="0" w:color="auto"/>
      </w:divBdr>
    </w:div>
    <w:div w:id="1299266484">
      <w:bodyDiv w:val="1"/>
      <w:marLeft w:val="0"/>
      <w:marRight w:val="0"/>
      <w:marTop w:val="0"/>
      <w:marBottom w:val="0"/>
      <w:divBdr>
        <w:top w:val="none" w:sz="0" w:space="0" w:color="auto"/>
        <w:left w:val="none" w:sz="0" w:space="0" w:color="auto"/>
        <w:bottom w:val="none" w:sz="0" w:space="0" w:color="auto"/>
        <w:right w:val="none" w:sz="0" w:space="0" w:color="auto"/>
      </w:divBdr>
      <w:divsChild>
        <w:div w:id="140000283">
          <w:marLeft w:val="0"/>
          <w:marRight w:val="0"/>
          <w:marTop w:val="0"/>
          <w:marBottom w:val="0"/>
          <w:divBdr>
            <w:top w:val="none" w:sz="0" w:space="0" w:color="auto"/>
            <w:left w:val="none" w:sz="0" w:space="0" w:color="auto"/>
            <w:bottom w:val="none" w:sz="0" w:space="0" w:color="auto"/>
            <w:right w:val="none" w:sz="0" w:space="0" w:color="auto"/>
          </w:divBdr>
        </w:div>
        <w:div w:id="1702052691">
          <w:marLeft w:val="0"/>
          <w:marRight w:val="0"/>
          <w:marTop w:val="0"/>
          <w:marBottom w:val="0"/>
          <w:divBdr>
            <w:top w:val="none" w:sz="0" w:space="0" w:color="auto"/>
            <w:left w:val="none" w:sz="0" w:space="0" w:color="auto"/>
            <w:bottom w:val="none" w:sz="0" w:space="0" w:color="auto"/>
            <w:right w:val="none" w:sz="0" w:space="0" w:color="auto"/>
          </w:divBdr>
        </w:div>
        <w:div w:id="1443383777">
          <w:marLeft w:val="0"/>
          <w:marRight w:val="0"/>
          <w:marTop w:val="0"/>
          <w:marBottom w:val="0"/>
          <w:divBdr>
            <w:top w:val="none" w:sz="0" w:space="0" w:color="auto"/>
            <w:left w:val="none" w:sz="0" w:space="0" w:color="auto"/>
            <w:bottom w:val="none" w:sz="0" w:space="0" w:color="auto"/>
            <w:right w:val="none" w:sz="0" w:space="0" w:color="auto"/>
          </w:divBdr>
          <w:divsChild>
            <w:div w:id="1585140247">
              <w:marLeft w:val="0"/>
              <w:marRight w:val="0"/>
              <w:marTop w:val="0"/>
              <w:marBottom w:val="0"/>
              <w:divBdr>
                <w:top w:val="none" w:sz="0" w:space="0" w:color="auto"/>
                <w:left w:val="none" w:sz="0" w:space="0" w:color="auto"/>
                <w:bottom w:val="none" w:sz="0" w:space="0" w:color="auto"/>
                <w:right w:val="none" w:sz="0" w:space="0" w:color="auto"/>
              </w:divBdr>
            </w:div>
            <w:div w:id="1669556954">
              <w:marLeft w:val="0"/>
              <w:marRight w:val="0"/>
              <w:marTop w:val="0"/>
              <w:marBottom w:val="0"/>
              <w:divBdr>
                <w:top w:val="none" w:sz="0" w:space="0" w:color="auto"/>
                <w:left w:val="none" w:sz="0" w:space="0" w:color="auto"/>
                <w:bottom w:val="none" w:sz="0" w:space="0" w:color="auto"/>
                <w:right w:val="none" w:sz="0" w:space="0" w:color="auto"/>
              </w:divBdr>
            </w:div>
            <w:div w:id="1465849744">
              <w:marLeft w:val="0"/>
              <w:marRight w:val="0"/>
              <w:marTop w:val="0"/>
              <w:marBottom w:val="0"/>
              <w:divBdr>
                <w:top w:val="none" w:sz="0" w:space="0" w:color="auto"/>
                <w:left w:val="none" w:sz="0" w:space="0" w:color="auto"/>
                <w:bottom w:val="none" w:sz="0" w:space="0" w:color="auto"/>
                <w:right w:val="none" w:sz="0" w:space="0" w:color="auto"/>
              </w:divBdr>
            </w:div>
            <w:div w:id="25448117">
              <w:marLeft w:val="0"/>
              <w:marRight w:val="0"/>
              <w:marTop w:val="0"/>
              <w:marBottom w:val="0"/>
              <w:divBdr>
                <w:top w:val="none" w:sz="0" w:space="0" w:color="auto"/>
                <w:left w:val="none" w:sz="0" w:space="0" w:color="auto"/>
                <w:bottom w:val="none" w:sz="0" w:space="0" w:color="auto"/>
                <w:right w:val="none" w:sz="0" w:space="0" w:color="auto"/>
              </w:divBdr>
            </w:div>
            <w:div w:id="253442119">
              <w:marLeft w:val="0"/>
              <w:marRight w:val="0"/>
              <w:marTop w:val="0"/>
              <w:marBottom w:val="0"/>
              <w:divBdr>
                <w:top w:val="none" w:sz="0" w:space="0" w:color="auto"/>
                <w:left w:val="none" w:sz="0" w:space="0" w:color="auto"/>
                <w:bottom w:val="none" w:sz="0" w:space="0" w:color="auto"/>
                <w:right w:val="none" w:sz="0" w:space="0" w:color="auto"/>
              </w:divBdr>
            </w:div>
            <w:div w:id="43528772">
              <w:marLeft w:val="0"/>
              <w:marRight w:val="0"/>
              <w:marTop w:val="0"/>
              <w:marBottom w:val="0"/>
              <w:divBdr>
                <w:top w:val="none" w:sz="0" w:space="0" w:color="auto"/>
                <w:left w:val="none" w:sz="0" w:space="0" w:color="auto"/>
                <w:bottom w:val="none" w:sz="0" w:space="0" w:color="auto"/>
                <w:right w:val="none" w:sz="0" w:space="0" w:color="auto"/>
              </w:divBdr>
            </w:div>
            <w:div w:id="1771507494">
              <w:marLeft w:val="0"/>
              <w:marRight w:val="0"/>
              <w:marTop w:val="0"/>
              <w:marBottom w:val="0"/>
              <w:divBdr>
                <w:top w:val="none" w:sz="0" w:space="0" w:color="auto"/>
                <w:left w:val="none" w:sz="0" w:space="0" w:color="auto"/>
                <w:bottom w:val="none" w:sz="0" w:space="0" w:color="auto"/>
                <w:right w:val="none" w:sz="0" w:space="0" w:color="auto"/>
              </w:divBdr>
            </w:div>
            <w:div w:id="827861155">
              <w:marLeft w:val="0"/>
              <w:marRight w:val="0"/>
              <w:marTop w:val="0"/>
              <w:marBottom w:val="0"/>
              <w:divBdr>
                <w:top w:val="none" w:sz="0" w:space="0" w:color="auto"/>
                <w:left w:val="none" w:sz="0" w:space="0" w:color="auto"/>
                <w:bottom w:val="none" w:sz="0" w:space="0" w:color="auto"/>
                <w:right w:val="none" w:sz="0" w:space="0" w:color="auto"/>
              </w:divBdr>
            </w:div>
            <w:div w:id="313335835">
              <w:marLeft w:val="0"/>
              <w:marRight w:val="0"/>
              <w:marTop w:val="0"/>
              <w:marBottom w:val="0"/>
              <w:divBdr>
                <w:top w:val="none" w:sz="0" w:space="0" w:color="auto"/>
                <w:left w:val="none" w:sz="0" w:space="0" w:color="auto"/>
                <w:bottom w:val="none" w:sz="0" w:space="0" w:color="auto"/>
                <w:right w:val="none" w:sz="0" w:space="0" w:color="auto"/>
              </w:divBdr>
            </w:div>
            <w:div w:id="1130592974">
              <w:marLeft w:val="0"/>
              <w:marRight w:val="0"/>
              <w:marTop w:val="0"/>
              <w:marBottom w:val="0"/>
              <w:divBdr>
                <w:top w:val="none" w:sz="0" w:space="0" w:color="auto"/>
                <w:left w:val="none" w:sz="0" w:space="0" w:color="auto"/>
                <w:bottom w:val="none" w:sz="0" w:space="0" w:color="auto"/>
                <w:right w:val="none" w:sz="0" w:space="0" w:color="auto"/>
              </w:divBdr>
            </w:div>
            <w:div w:id="1506479983">
              <w:marLeft w:val="0"/>
              <w:marRight w:val="0"/>
              <w:marTop w:val="0"/>
              <w:marBottom w:val="0"/>
              <w:divBdr>
                <w:top w:val="none" w:sz="0" w:space="0" w:color="auto"/>
                <w:left w:val="none" w:sz="0" w:space="0" w:color="auto"/>
                <w:bottom w:val="none" w:sz="0" w:space="0" w:color="auto"/>
                <w:right w:val="none" w:sz="0" w:space="0" w:color="auto"/>
              </w:divBdr>
            </w:div>
            <w:div w:id="246157895">
              <w:marLeft w:val="0"/>
              <w:marRight w:val="0"/>
              <w:marTop w:val="0"/>
              <w:marBottom w:val="0"/>
              <w:divBdr>
                <w:top w:val="none" w:sz="0" w:space="0" w:color="auto"/>
                <w:left w:val="none" w:sz="0" w:space="0" w:color="auto"/>
                <w:bottom w:val="none" w:sz="0" w:space="0" w:color="auto"/>
                <w:right w:val="none" w:sz="0" w:space="0" w:color="auto"/>
              </w:divBdr>
            </w:div>
            <w:div w:id="850336082">
              <w:marLeft w:val="0"/>
              <w:marRight w:val="0"/>
              <w:marTop w:val="0"/>
              <w:marBottom w:val="0"/>
              <w:divBdr>
                <w:top w:val="none" w:sz="0" w:space="0" w:color="auto"/>
                <w:left w:val="none" w:sz="0" w:space="0" w:color="auto"/>
                <w:bottom w:val="none" w:sz="0" w:space="0" w:color="auto"/>
                <w:right w:val="none" w:sz="0" w:space="0" w:color="auto"/>
              </w:divBdr>
            </w:div>
            <w:div w:id="1952857606">
              <w:marLeft w:val="0"/>
              <w:marRight w:val="0"/>
              <w:marTop w:val="0"/>
              <w:marBottom w:val="0"/>
              <w:divBdr>
                <w:top w:val="none" w:sz="0" w:space="0" w:color="auto"/>
                <w:left w:val="none" w:sz="0" w:space="0" w:color="auto"/>
                <w:bottom w:val="none" w:sz="0" w:space="0" w:color="auto"/>
                <w:right w:val="none" w:sz="0" w:space="0" w:color="auto"/>
              </w:divBdr>
            </w:div>
            <w:div w:id="200822073">
              <w:marLeft w:val="0"/>
              <w:marRight w:val="0"/>
              <w:marTop w:val="0"/>
              <w:marBottom w:val="0"/>
              <w:divBdr>
                <w:top w:val="none" w:sz="0" w:space="0" w:color="auto"/>
                <w:left w:val="none" w:sz="0" w:space="0" w:color="auto"/>
                <w:bottom w:val="none" w:sz="0" w:space="0" w:color="auto"/>
                <w:right w:val="none" w:sz="0" w:space="0" w:color="auto"/>
              </w:divBdr>
            </w:div>
            <w:div w:id="401562929">
              <w:marLeft w:val="0"/>
              <w:marRight w:val="0"/>
              <w:marTop w:val="0"/>
              <w:marBottom w:val="0"/>
              <w:divBdr>
                <w:top w:val="none" w:sz="0" w:space="0" w:color="auto"/>
                <w:left w:val="none" w:sz="0" w:space="0" w:color="auto"/>
                <w:bottom w:val="none" w:sz="0" w:space="0" w:color="auto"/>
                <w:right w:val="none" w:sz="0" w:space="0" w:color="auto"/>
              </w:divBdr>
            </w:div>
            <w:div w:id="954363471">
              <w:marLeft w:val="0"/>
              <w:marRight w:val="0"/>
              <w:marTop w:val="0"/>
              <w:marBottom w:val="0"/>
              <w:divBdr>
                <w:top w:val="none" w:sz="0" w:space="0" w:color="auto"/>
                <w:left w:val="none" w:sz="0" w:space="0" w:color="auto"/>
                <w:bottom w:val="none" w:sz="0" w:space="0" w:color="auto"/>
                <w:right w:val="none" w:sz="0" w:space="0" w:color="auto"/>
              </w:divBdr>
            </w:div>
            <w:div w:id="112795550">
              <w:marLeft w:val="0"/>
              <w:marRight w:val="0"/>
              <w:marTop w:val="0"/>
              <w:marBottom w:val="0"/>
              <w:divBdr>
                <w:top w:val="none" w:sz="0" w:space="0" w:color="auto"/>
                <w:left w:val="none" w:sz="0" w:space="0" w:color="auto"/>
                <w:bottom w:val="none" w:sz="0" w:space="0" w:color="auto"/>
                <w:right w:val="none" w:sz="0" w:space="0" w:color="auto"/>
              </w:divBdr>
            </w:div>
            <w:div w:id="1937590283">
              <w:marLeft w:val="0"/>
              <w:marRight w:val="0"/>
              <w:marTop w:val="0"/>
              <w:marBottom w:val="0"/>
              <w:divBdr>
                <w:top w:val="none" w:sz="0" w:space="0" w:color="auto"/>
                <w:left w:val="none" w:sz="0" w:space="0" w:color="auto"/>
                <w:bottom w:val="none" w:sz="0" w:space="0" w:color="auto"/>
                <w:right w:val="none" w:sz="0" w:space="0" w:color="auto"/>
              </w:divBdr>
            </w:div>
            <w:div w:id="1490363768">
              <w:marLeft w:val="0"/>
              <w:marRight w:val="0"/>
              <w:marTop w:val="0"/>
              <w:marBottom w:val="0"/>
              <w:divBdr>
                <w:top w:val="none" w:sz="0" w:space="0" w:color="auto"/>
                <w:left w:val="none" w:sz="0" w:space="0" w:color="auto"/>
                <w:bottom w:val="none" w:sz="0" w:space="0" w:color="auto"/>
                <w:right w:val="none" w:sz="0" w:space="0" w:color="auto"/>
              </w:divBdr>
            </w:div>
            <w:div w:id="2091000594">
              <w:marLeft w:val="0"/>
              <w:marRight w:val="0"/>
              <w:marTop w:val="0"/>
              <w:marBottom w:val="0"/>
              <w:divBdr>
                <w:top w:val="none" w:sz="0" w:space="0" w:color="auto"/>
                <w:left w:val="none" w:sz="0" w:space="0" w:color="auto"/>
                <w:bottom w:val="none" w:sz="0" w:space="0" w:color="auto"/>
                <w:right w:val="none" w:sz="0" w:space="0" w:color="auto"/>
              </w:divBdr>
            </w:div>
            <w:div w:id="2096776827">
              <w:marLeft w:val="0"/>
              <w:marRight w:val="0"/>
              <w:marTop w:val="0"/>
              <w:marBottom w:val="0"/>
              <w:divBdr>
                <w:top w:val="none" w:sz="0" w:space="0" w:color="auto"/>
                <w:left w:val="none" w:sz="0" w:space="0" w:color="auto"/>
                <w:bottom w:val="none" w:sz="0" w:space="0" w:color="auto"/>
                <w:right w:val="none" w:sz="0" w:space="0" w:color="auto"/>
              </w:divBdr>
            </w:div>
            <w:div w:id="22638417">
              <w:marLeft w:val="0"/>
              <w:marRight w:val="0"/>
              <w:marTop w:val="0"/>
              <w:marBottom w:val="0"/>
              <w:divBdr>
                <w:top w:val="none" w:sz="0" w:space="0" w:color="auto"/>
                <w:left w:val="none" w:sz="0" w:space="0" w:color="auto"/>
                <w:bottom w:val="none" w:sz="0" w:space="0" w:color="auto"/>
                <w:right w:val="none" w:sz="0" w:space="0" w:color="auto"/>
              </w:divBdr>
            </w:div>
            <w:div w:id="587078579">
              <w:marLeft w:val="0"/>
              <w:marRight w:val="0"/>
              <w:marTop w:val="0"/>
              <w:marBottom w:val="0"/>
              <w:divBdr>
                <w:top w:val="none" w:sz="0" w:space="0" w:color="auto"/>
                <w:left w:val="none" w:sz="0" w:space="0" w:color="auto"/>
                <w:bottom w:val="none" w:sz="0" w:space="0" w:color="auto"/>
                <w:right w:val="none" w:sz="0" w:space="0" w:color="auto"/>
              </w:divBdr>
            </w:div>
            <w:div w:id="1049497787">
              <w:marLeft w:val="0"/>
              <w:marRight w:val="0"/>
              <w:marTop w:val="0"/>
              <w:marBottom w:val="0"/>
              <w:divBdr>
                <w:top w:val="none" w:sz="0" w:space="0" w:color="auto"/>
                <w:left w:val="none" w:sz="0" w:space="0" w:color="auto"/>
                <w:bottom w:val="none" w:sz="0" w:space="0" w:color="auto"/>
                <w:right w:val="none" w:sz="0" w:space="0" w:color="auto"/>
              </w:divBdr>
            </w:div>
            <w:div w:id="1900482137">
              <w:marLeft w:val="0"/>
              <w:marRight w:val="0"/>
              <w:marTop w:val="0"/>
              <w:marBottom w:val="0"/>
              <w:divBdr>
                <w:top w:val="none" w:sz="0" w:space="0" w:color="auto"/>
                <w:left w:val="none" w:sz="0" w:space="0" w:color="auto"/>
                <w:bottom w:val="none" w:sz="0" w:space="0" w:color="auto"/>
                <w:right w:val="none" w:sz="0" w:space="0" w:color="auto"/>
              </w:divBdr>
            </w:div>
            <w:div w:id="1979190323">
              <w:marLeft w:val="0"/>
              <w:marRight w:val="0"/>
              <w:marTop w:val="0"/>
              <w:marBottom w:val="0"/>
              <w:divBdr>
                <w:top w:val="none" w:sz="0" w:space="0" w:color="auto"/>
                <w:left w:val="none" w:sz="0" w:space="0" w:color="auto"/>
                <w:bottom w:val="none" w:sz="0" w:space="0" w:color="auto"/>
                <w:right w:val="none" w:sz="0" w:space="0" w:color="auto"/>
              </w:divBdr>
            </w:div>
            <w:div w:id="429350268">
              <w:marLeft w:val="0"/>
              <w:marRight w:val="0"/>
              <w:marTop w:val="0"/>
              <w:marBottom w:val="0"/>
              <w:divBdr>
                <w:top w:val="none" w:sz="0" w:space="0" w:color="auto"/>
                <w:left w:val="none" w:sz="0" w:space="0" w:color="auto"/>
                <w:bottom w:val="none" w:sz="0" w:space="0" w:color="auto"/>
                <w:right w:val="none" w:sz="0" w:space="0" w:color="auto"/>
              </w:divBdr>
            </w:div>
            <w:div w:id="2082175909">
              <w:marLeft w:val="0"/>
              <w:marRight w:val="0"/>
              <w:marTop w:val="0"/>
              <w:marBottom w:val="0"/>
              <w:divBdr>
                <w:top w:val="none" w:sz="0" w:space="0" w:color="auto"/>
                <w:left w:val="none" w:sz="0" w:space="0" w:color="auto"/>
                <w:bottom w:val="none" w:sz="0" w:space="0" w:color="auto"/>
                <w:right w:val="none" w:sz="0" w:space="0" w:color="auto"/>
              </w:divBdr>
            </w:div>
            <w:div w:id="434910544">
              <w:marLeft w:val="0"/>
              <w:marRight w:val="0"/>
              <w:marTop w:val="0"/>
              <w:marBottom w:val="0"/>
              <w:divBdr>
                <w:top w:val="none" w:sz="0" w:space="0" w:color="auto"/>
                <w:left w:val="none" w:sz="0" w:space="0" w:color="auto"/>
                <w:bottom w:val="none" w:sz="0" w:space="0" w:color="auto"/>
                <w:right w:val="none" w:sz="0" w:space="0" w:color="auto"/>
              </w:divBdr>
            </w:div>
            <w:div w:id="1557475267">
              <w:marLeft w:val="0"/>
              <w:marRight w:val="0"/>
              <w:marTop w:val="0"/>
              <w:marBottom w:val="0"/>
              <w:divBdr>
                <w:top w:val="none" w:sz="0" w:space="0" w:color="auto"/>
                <w:left w:val="none" w:sz="0" w:space="0" w:color="auto"/>
                <w:bottom w:val="none" w:sz="0" w:space="0" w:color="auto"/>
                <w:right w:val="none" w:sz="0" w:space="0" w:color="auto"/>
              </w:divBdr>
            </w:div>
            <w:div w:id="1617370220">
              <w:marLeft w:val="0"/>
              <w:marRight w:val="0"/>
              <w:marTop w:val="0"/>
              <w:marBottom w:val="0"/>
              <w:divBdr>
                <w:top w:val="none" w:sz="0" w:space="0" w:color="auto"/>
                <w:left w:val="none" w:sz="0" w:space="0" w:color="auto"/>
                <w:bottom w:val="none" w:sz="0" w:space="0" w:color="auto"/>
                <w:right w:val="none" w:sz="0" w:space="0" w:color="auto"/>
              </w:divBdr>
            </w:div>
            <w:div w:id="2060782943">
              <w:marLeft w:val="0"/>
              <w:marRight w:val="0"/>
              <w:marTop w:val="0"/>
              <w:marBottom w:val="0"/>
              <w:divBdr>
                <w:top w:val="none" w:sz="0" w:space="0" w:color="auto"/>
                <w:left w:val="none" w:sz="0" w:space="0" w:color="auto"/>
                <w:bottom w:val="none" w:sz="0" w:space="0" w:color="auto"/>
                <w:right w:val="none" w:sz="0" w:space="0" w:color="auto"/>
              </w:divBdr>
            </w:div>
            <w:div w:id="147552828">
              <w:marLeft w:val="0"/>
              <w:marRight w:val="0"/>
              <w:marTop w:val="0"/>
              <w:marBottom w:val="0"/>
              <w:divBdr>
                <w:top w:val="none" w:sz="0" w:space="0" w:color="auto"/>
                <w:left w:val="none" w:sz="0" w:space="0" w:color="auto"/>
                <w:bottom w:val="none" w:sz="0" w:space="0" w:color="auto"/>
                <w:right w:val="none" w:sz="0" w:space="0" w:color="auto"/>
              </w:divBdr>
            </w:div>
            <w:div w:id="2019692371">
              <w:marLeft w:val="0"/>
              <w:marRight w:val="0"/>
              <w:marTop w:val="0"/>
              <w:marBottom w:val="0"/>
              <w:divBdr>
                <w:top w:val="none" w:sz="0" w:space="0" w:color="auto"/>
                <w:left w:val="none" w:sz="0" w:space="0" w:color="auto"/>
                <w:bottom w:val="none" w:sz="0" w:space="0" w:color="auto"/>
                <w:right w:val="none" w:sz="0" w:space="0" w:color="auto"/>
              </w:divBdr>
            </w:div>
            <w:div w:id="2136291208">
              <w:marLeft w:val="0"/>
              <w:marRight w:val="0"/>
              <w:marTop w:val="0"/>
              <w:marBottom w:val="0"/>
              <w:divBdr>
                <w:top w:val="none" w:sz="0" w:space="0" w:color="auto"/>
                <w:left w:val="none" w:sz="0" w:space="0" w:color="auto"/>
                <w:bottom w:val="none" w:sz="0" w:space="0" w:color="auto"/>
                <w:right w:val="none" w:sz="0" w:space="0" w:color="auto"/>
              </w:divBdr>
            </w:div>
            <w:div w:id="2051563093">
              <w:marLeft w:val="0"/>
              <w:marRight w:val="0"/>
              <w:marTop w:val="0"/>
              <w:marBottom w:val="0"/>
              <w:divBdr>
                <w:top w:val="none" w:sz="0" w:space="0" w:color="auto"/>
                <w:left w:val="none" w:sz="0" w:space="0" w:color="auto"/>
                <w:bottom w:val="none" w:sz="0" w:space="0" w:color="auto"/>
                <w:right w:val="none" w:sz="0" w:space="0" w:color="auto"/>
              </w:divBdr>
            </w:div>
            <w:div w:id="259990714">
              <w:marLeft w:val="0"/>
              <w:marRight w:val="0"/>
              <w:marTop w:val="0"/>
              <w:marBottom w:val="0"/>
              <w:divBdr>
                <w:top w:val="none" w:sz="0" w:space="0" w:color="auto"/>
                <w:left w:val="none" w:sz="0" w:space="0" w:color="auto"/>
                <w:bottom w:val="none" w:sz="0" w:space="0" w:color="auto"/>
                <w:right w:val="none" w:sz="0" w:space="0" w:color="auto"/>
              </w:divBdr>
            </w:div>
            <w:div w:id="346834085">
              <w:marLeft w:val="0"/>
              <w:marRight w:val="0"/>
              <w:marTop w:val="0"/>
              <w:marBottom w:val="0"/>
              <w:divBdr>
                <w:top w:val="none" w:sz="0" w:space="0" w:color="auto"/>
                <w:left w:val="none" w:sz="0" w:space="0" w:color="auto"/>
                <w:bottom w:val="none" w:sz="0" w:space="0" w:color="auto"/>
                <w:right w:val="none" w:sz="0" w:space="0" w:color="auto"/>
              </w:divBdr>
            </w:div>
            <w:div w:id="405998048">
              <w:marLeft w:val="0"/>
              <w:marRight w:val="0"/>
              <w:marTop w:val="0"/>
              <w:marBottom w:val="0"/>
              <w:divBdr>
                <w:top w:val="none" w:sz="0" w:space="0" w:color="auto"/>
                <w:left w:val="none" w:sz="0" w:space="0" w:color="auto"/>
                <w:bottom w:val="none" w:sz="0" w:space="0" w:color="auto"/>
                <w:right w:val="none" w:sz="0" w:space="0" w:color="auto"/>
              </w:divBdr>
            </w:div>
            <w:div w:id="1896427289">
              <w:marLeft w:val="0"/>
              <w:marRight w:val="0"/>
              <w:marTop w:val="0"/>
              <w:marBottom w:val="0"/>
              <w:divBdr>
                <w:top w:val="none" w:sz="0" w:space="0" w:color="auto"/>
                <w:left w:val="none" w:sz="0" w:space="0" w:color="auto"/>
                <w:bottom w:val="none" w:sz="0" w:space="0" w:color="auto"/>
                <w:right w:val="none" w:sz="0" w:space="0" w:color="auto"/>
              </w:divBdr>
            </w:div>
            <w:div w:id="1446584408">
              <w:marLeft w:val="0"/>
              <w:marRight w:val="0"/>
              <w:marTop w:val="0"/>
              <w:marBottom w:val="0"/>
              <w:divBdr>
                <w:top w:val="none" w:sz="0" w:space="0" w:color="auto"/>
                <w:left w:val="none" w:sz="0" w:space="0" w:color="auto"/>
                <w:bottom w:val="none" w:sz="0" w:space="0" w:color="auto"/>
                <w:right w:val="none" w:sz="0" w:space="0" w:color="auto"/>
              </w:divBdr>
            </w:div>
            <w:div w:id="1698656050">
              <w:marLeft w:val="0"/>
              <w:marRight w:val="0"/>
              <w:marTop w:val="0"/>
              <w:marBottom w:val="0"/>
              <w:divBdr>
                <w:top w:val="none" w:sz="0" w:space="0" w:color="auto"/>
                <w:left w:val="none" w:sz="0" w:space="0" w:color="auto"/>
                <w:bottom w:val="none" w:sz="0" w:space="0" w:color="auto"/>
                <w:right w:val="none" w:sz="0" w:space="0" w:color="auto"/>
              </w:divBdr>
            </w:div>
            <w:div w:id="1894536130">
              <w:marLeft w:val="0"/>
              <w:marRight w:val="0"/>
              <w:marTop w:val="0"/>
              <w:marBottom w:val="0"/>
              <w:divBdr>
                <w:top w:val="none" w:sz="0" w:space="0" w:color="auto"/>
                <w:left w:val="none" w:sz="0" w:space="0" w:color="auto"/>
                <w:bottom w:val="none" w:sz="0" w:space="0" w:color="auto"/>
                <w:right w:val="none" w:sz="0" w:space="0" w:color="auto"/>
              </w:divBdr>
            </w:div>
            <w:div w:id="1646814829">
              <w:marLeft w:val="0"/>
              <w:marRight w:val="0"/>
              <w:marTop w:val="0"/>
              <w:marBottom w:val="0"/>
              <w:divBdr>
                <w:top w:val="none" w:sz="0" w:space="0" w:color="auto"/>
                <w:left w:val="none" w:sz="0" w:space="0" w:color="auto"/>
                <w:bottom w:val="none" w:sz="0" w:space="0" w:color="auto"/>
                <w:right w:val="none" w:sz="0" w:space="0" w:color="auto"/>
              </w:divBdr>
            </w:div>
            <w:div w:id="2013873434">
              <w:marLeft w:val="0"/>
              <w:marRight w:val="0"/>
              <w:marTop w:val="0"/>
              <w:marBottom w:val="0"/>
              <w:divBdr>
                <w:top w:val="none" w:sz="0" w:space="0" w:color="auto"/>
                <w:left w:val="none" w:sz="0" w:space="0" w:color="auto"/>
                <w:bottom w:val="none" w:sz="0" w:space="0" w:color="auto"/>
                <w:right w:val="none" w:sz="0" w:space="0" w:color="auto"/>
              </w:divBdr>
            </w:div>
            <w:div w:id="562716918">
              <w:marLeft w:val="0"/>
              <w:marRight w:val="0"/>
              <w:marTop w:val="0"/>
              <w:marBottom w:val="0"/>
              <w:divBdr>
                <w:top w:val="none" w:sz="0" w:space="0" w:color="auto"/>
                <w:left w:val="none" w:sz="0" w:space="0" w:color="auto"/>
                <w:bottom w:val="none" w:sz="0" w:space="0" w:color="auto"/>
                <w:right w:val="none" w:sz="0" w:space="0" w:color="auto"/>
              </w:divBdr>
            </w:div>
            <w:div w:id="1963029122">
              <w:marLeft w:val="0"/>
              <w:marRight w:val="0"/>
              <w:marTop w:val="0"/>
              <w:marBottom w:val="0"/>
              <w:divBdr>
                <w:top w:val="none" w:sz="0" w:space="0" w:color="auto"/>
                <w:left w:val="none" w:sz="0" w:space="0" w:color="auto"/>
                <w:bottom w:val="none" w:sz="0" w:space="0" w:color="auto"/>
                <w:right w:val="none" w:sz="0" w:space="0" w:color="auto"/>
              </w:divBdr>
            </w:div>
            <w:div w:id="239757971">
              <w:marLeft w:val="0"/>
              <w:marRight w:val="0"/>
              <w:marTop w:val="0"/>
              <w:marBottom w:val="0"/>
              <w:divBdr>
                <w:top w:val="none" w:sz="0" w:space="0" w:color="auto"/>
                <w:left w:val="none" w:sz="0" w:space="0" w:color="auto"/>
                <w:bottom w:val="none" w:sz="0" w:space="0" w:color="auto"/>
                <w:right w:val="none" w:sz="0" w:space="0" w:color="auto"/>
              </w:divBdr>
            </w:div>
            <w:div w:id="875043712">
              <w:marLeft w:val="0"/>
              <w:marRight w:val="0"/>
              <w:marTop w:val="0"/>
              <w:marBottom w:val="0"/>
              <w:divBdr>
                <w:top w:val="none" w:sz="0" w:space="0" w:color="auto"/>
                <w:left w:val="none" w:sz="0" w:space="0" w:color="auto"/>
                <w:bottom w:val="none" w:sz="0" w:space="0" w:color="auto"/>
                <w:right w:val="none" w:sz="0" w:space="0" w:color="auto"/>
              </w:divBdr>
            </w:div>
            <w:div w:id="19815778">
              <w:marLeft w:val="0"/>
              <w:marRight w:val="0"/>
              <w:marTop w:val="0"/>
              <w:marBottom w:val="0"/>
              <w:divBdr>
                <w:top w:val="none" w:sz="0" w:space="0" w:color="auto"/>
                <w:left w:val="none" w:sz="0" w:space="0" w:color="auto"/>
                <w:bottom w:val="none" w:sz="0" w:space="0" w:color="auto"/>
                <w:right w:val="none" w:sz="0" w:space="0" w:color="auto"/>
              </w:divBdr>
            </w:div>
            <w:div w:id="709302842">
              <w:marLeft w:val="0"/>
              <w:marRight w:val="0"/>
              <w:marTop w:val="0"/>
              <w:marBottom w:val="0"/>
              <w:divBdr>
                <w:top w:val="none" w:sz="0" w:space="0" w:color="auto"/>
                <w:left w:val="none" w:sz="0" w:space="0" w:color="auto"/>
                <w:bottom w:val="none" w:sz="0" w:space="0" w:color="auto"/>
                <w:right w:val="none" w:sz="0" w:space="0" w:color="auto"/>
              </w:divBdr>
            </w:div>
            <w:div w:id="833568650">
              <w:marLeft w:val="0"/>
              <w:marRight w:val="0"/>
              <w:marTop w:val="0"/>
              <w:marBottom w:val="0"/>
              <w:divBdr>
                <w:top w:val="none" w:sz="0" w:space="0" w:color="auto"/>
                <w:left w:val="none" w:sz="0" w:space="0" w:color="auto"/>
                <w:bottom w:val="none" w:sz="0" w:space="0" w:color="auto"/>
                <w:right w:val="none" w:sz="0" w:space="0" w:color="auto"/>
              </w:divBdr>
            </w:div>
            <w:div w:id="796679345">
              <w:marLeft w:val="0"/>
              <w:marRight w:val="0"/>
              <w:marTop w:val="0"/>
              <w:marBottom w:val="0"/>
              <w:divBdr>
                <w:top w:val="none" w:sz="0" w:space="0" w:color="auto"/>
                <w:left w:val="none" w:sz="0" w:space="0" w:color="auto"/>
                <w:bottom w:val="none" w:sz="0" w:space="0" w:color="auto"/>
                <w:right w:val="none" w:sz="0" w:space="0" w:color="auto"/>
              </w:divBdr>
            </w:div>
            <w:div w:id="220987433">
              <w:marLeft w:val="0"/>
              <w:marRight w:val="0"/>
              <w:marTop w:val="0"/>
              <w:marBottom w:val="0"/>
              <w:divBdr>
                <w:top w:val="none" w:sz="0" w:space="0" w:color="auto"/>
                <w:left w:val="none" w:sz="0" w:space="0" w:color="auto"/>
                <w:bottom w:val="none" w:sz="0" w:space="0" w:color="auto"/>
                <w:right w:val="none" w:sz="0" w:space="0" w:color="auto"/>
              </w:divBdr>
            </w:div>
            <w:div w:id="97834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874</Words>
  <Characters>4986</Characters>
  <Application>Microsoft Office Word</Application>
  <DocSecurity>0</DocSecurity>
  <Lines>41</Lines>
  <Paragraphs>11</Paragraphs>
  <ScaleCrop>false</ScaleCrop>
  <Company/>
  <LinksUpToDate>false</LinksUpToDate>
  <CharactersWithSpaces>5849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cp:lastPrinted>2022-09-23T00:41:00Z</cp:lastPrinted>
  <dcterms:created xsi:type="dcterms:W3CDTF">2022-09-19T02:55:00Z</dcterms:created>
  <dcterms:modified xsi:type="dcterms:W3CDTF">2022-09-23T00:42:00Z</dcterms:modified>
</cp:coreProperties>
</file>